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23"/>
      </w:tblGrid>
      <w:tr w:rsidR="00743737" w:rsidRPr="008029ED" w14:paraId="12878618" w14:textId="77777777" w:rsidTr="00743737">
        <w:tc>
          <w:tcPr>
            <w:tcW w:w="0" w:type="auto"/>
            <w:vAlign w:val="center"/>
            <w:hideMark/>
          </w:tcPr>
          <w:tbl>
            <w:tblPr>
              <w:tblW w:w="0" w:type="auto"/>
              <w:tblCellMar>
                <w:left w:w="0" w:type="dxa"/>
                <w:right w:w="0" w:type="dxa"/>
              </w:tblCellMar>
              <w:tblLook w:val="04A0" w:firstRow="1" w:lastRow="0" w:firstColumn="1" w:lastColumn="0" w:noHBand="0" w:noVBand="1"/>
            </w:tblPr>
            <w:tblGrid>
              <w:gridCol w:w="146"/>
              <w:gridCol w:w="9352"/>
            </w:tblGrid>
            <w:tr w:rsidR="00743737" w:rsidRPr="008029ED" w14:paraId="38A1298F" w14:textId="77777777" w:rsidTr="00795000">
              <w:tc>
                <w:tcPr>
                  <w:tcW w:w="146" w:type="dxa"/>
                  <w:shd w:val="clear" w:color="auto" w:fill="FFFFFF"/>
                  <w:vAlign w:val="center"/>
                  <w:hideMark/>
                </w:tcPr>
                <w:p w14:paraId="1499B2DF" w14:textId="77777777" w:rsidR="00743737" w:rsidRPr="008029ED" w:rsidRDefault="00743737" w:rsidP="00743737">
                  <w:pPr>
                    <w:rPr>
                      <w:rFonts w:ascii="Arial" w:eastAsia="Times New Roman" w:hAnsi="Arial" w:cs="Arial"/>
                    </w:rPr>
                  </w:pPr>
                </w:p>
              </w:tc>
              <w:tc>
                <w:tcPr>
                  <w:tcW w:w="9352" w:type="dxa"/>
                  <w:vAlign w:val="center"/>
                  <w:hideMark/>
                </w:tcPr>
                <w:p w14:paraId="225A8C89" w14:textId="00ABC1DF" w:rsidR="00196AF3" w:rsidRPr="008029ED" w:rsidRDefault="000D6FAC" w:rsidP="000D6FAC">
                  <w:pPr>
                    <w:ind w:left="-149" w:firstLine="149"/>
                    <w:rPr>
                      <w:rFonts w:ascii="Arial" w:hAnsi="Arial" w:cs="Arial"/>
                    </w:rPr>
                  </w:pPr>
                  <w:r w:rsidRPr="008029ED">
                    <w:rPr>
                      <w:rFonts w:ascii="Arial" w:hAnsi="Arial" w:cs="Arial"/>
                      <w:b/>
                      <w:noProof/>
                    </w:rPr>
                    <w:drawing>
                      <wp:anchor distT="0" distB="0" distL="114300" distR="114300" simplePos="0" relativeHeight="251661312" behindDoc="0" locked="0" layoutInCell="1" allowOverlap="1" wp14:anchorId="1836FD76" wp14:editId="23218CC6">
                        <wp:simplePos x="0" y="0"/>
                        <wp:positionH relativeFrom="column">
                          <wp:posOffset>-238760</wp:posOffset>
                        </wp:positionH>
                        <wp:positionV relativeFrom="paragraph">
                          <wp:posOffset>-609600</wp:posOffset>
                        </wp:positionV>
                        <wp:extent cx="2447925" cy="1228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64BCFACF" w14:textId="40EEB77B" w:rsidR="00BE457B" w:rsidRPr="008029ED" w:rsidRDefault="00BE457B">
                  <w:pPr>
                    <w:rPr>
                      <w:rFonts w:ascii="Arial" w:hAnsi="Arial" w:cs="Arial"/>
                    </w:rPr>
                  </w:pPr>
                </w:p>
                <w:p w14:paraId="2101D32F" w14:textId="5E0F8252" w:rsidR="00BE457B" w:rsidRPr="008029ED" w:rsidRDefault="00BE457B">
                  <w:pPr>
                    <w:rPr>
                      <w:rFonts w:ascii="Arial" w:hAnsi="Arial" w:cs="Arial"/>
                    </w:rPr>
                  </w:pPr>
                </w:p>
                <w:p w14:paraId="1407723D" w14:textId="77777777" w:rsidR="00BE457B" w:rsidRPr="008029ED" w:rsidRDefault="00BE457B">
                  <w:pPr>
                    <w:rPr>
                      <w:rFonts w:ascii="Arial" w:hAnsi="Arial" w:cs="Arial"/>
                    </w:rPr>
                  </w:pPr>
                </w:p>
                <w:p w14:paraId="2F9D2CAD" w14:textId="3BC7AB03" w:rsidR="00196AF3" w:rsidRPr="008029ED" w:rsidRDefault="00196AF3">
                  <w:pPr>
                    <w:rPr>
                      <w:rFonts w:ascii="Arial" w:hAnsi="Arial" w:cs="Arial"/>
                    </w:rPr>
                  </w:pPr>
                </w:p>
                <w:p w14:paraId="75F85479" w14:textId="201C5E7F" w:rsidR="00196AF3" w:rsidRPr="008029ED" w:rsidRDefault="006F34BE" w:rsidP="008029ED">
                  <w:pPr>
                    <w:jc w:val="right"/>
                    <w:rPr>
                      <w:rFonts w:ascii="Arial" w:hAnsi="Arial" w:cs="Arial"/>
                    </w:rPr>
                  </w:pPr>
                  <w:r w:rsidRPr="008029ED">
                    <w:rPr>
                      <w:rFonts w:ascii="Arial" w:hAnsi="Arial" w:cs="Arial"/>
                    </w:rPr>
                    <w:t xml:space="preserve">Paris, le </w:t>
                  </w:r>
                  <w:r w:rsidR="00E12D53" w:rsidRPr="008029ED">
                    <w:rPr>
                      <w:rFonts w:ascii="Arial" w:hAnsi="Arial" w:cs="Arial"/>
                    </w:rPr>
                    <w:t>23 décembre 2020</w:t>
                  </w:r>
                </w:p>
                <w:p w14:paraId="0D2813B0" w14:textId="77777777" w:rsidR="00BE457B" w:rsidRPr="008029ED" w:rsidRDefault="00BE457B">
                  <w:pPr>
                    <w:rPr>
                      <w:rFonts w:ascii="Arial" w:hAnsi="Arial" w:cs="Arial"/>
                    </w:rPr>
                  </w:pPr>
                </w:p>
                <w:p w14:paraId="7749955C" w14:textId="77777777" w:rsidR="00BE457B" w:rsidRPr="008029ED" w:rsidRDefault="00BE457B">
                  <w:pPr>
                    <w:rPr>
                      <w:rFonts w:ascii="Arial" w:hAnsi="Arial" w:cs="Arial"/>
                    </w:rPr>
                  </w:pPr>
                </w:p>
                <w:p w14:paraId="0133BB32" w14:textId="77777777" w:rsidR="00743737" w:rsidRPr="008029ED" w:rsidRDefault="00743737" w:rsidP="00743737">
                  <w:pPr>
                    <w:jc w:val="center"/>
                    <w:rPr>
                      <w:rFonts w:ascii="Arial" w:eastAsia="Times New Roman" w:hAnsi="Arial" w:cs="Arial"/>
                    </w:rPr>
                  </w:pPr>
                </w:p>
              </w:tc>
            </w:tr>
          </w:tbl>
          <w:p w14:paraId="19C415DD" w14:textId="77777777" w:rsidR="00743737" w:rsidRPr="008029ED" w:rsidRDefault="00743737" w:rsidP="00743737">
            <w:pPr>
              <w:rPr>
                <w:rFonts w:ascii="Arial" w:eastAsia="Times New Roman" w:hAnsi="Arial" w:cs="Arial"/>
              </w:rPr>
            </w:pPr>
          </w:p>
        </w:tc>
      </w:tr>
    </w:tbl>
    <w:tbl>
      <w:tblPr>
        <w:tblpPr w:leftFromText="60" w:rightFromText="60" w:vertAnchor="text"/>
        <w:tblW w:w="4857" w:type="pct"/>
        <w:tblCellMar>
          <w:left w:w="0" w:type="dxa"/>
          <w:right w:w="0" w:type="dxa"/>
        </w:tblCellMar>
        <w:tblLook w:val="04A0" w:firstRow="1" w:lastRow="0" w:firstColumn="1" w:lastColumn="0" w:noHBand="0" w:noVBand="1"/>
      </w:tblPr>
      <w:tblGrid>
        <w:gridCol w:w="9639"/>
      </w:tblGrid>
      <w:tr w:rsidR="008029ED" w:rsidRPr="008029ED" w14:paraId="21F8D7DA" w14:textId="77777777" w:rsidTr="00795000">
        <w:tc>
          <w:tcPr>
            <w:tcW w:w="5000" w:type="pct"/>
            <w:vAlign w:val="center"/>
            <w:hideMark/>
          </w:tcPr>
          <w:tbl>
            <w:tblPr>
              <w:tblpPr w:leftFromText="141" w:rightFromText="141" w:vertAnchor="text" w:horzAnchor="margin" w:tblpY="-1777"/>
              <w:tblOverlap w:val="never"/>
              <w:tblW w:w="5000" w:type="pct"/>
              <w:shd w:val="clear" w:color="auto" w:fill="FFFFFF"/>
              <w:tblCellMar>
                <w:left w:w="0" w:type="dxa"/>
                <w:right w:w="0" w:type="dxa"/>
              </w:tblCellMar>
              <w:tblLook w:val="04A0" w:firstRow="1" w:lastRow="0" w:firstColumn="1" w:lastColumn="0" w:noHBand="0" w:noVBand="1"/>
            </w:tblPr>
            <w:tblGrid>
              <w:gridCol w:w="9639"/>
            </w:tblGrid>
            <w:tr w:rsidR="008029ED" w:rsidRPr="008029ED" w14:paraId="74F84431" w14:textId="77777777" w:rsidTr="008029ED">
              <w:tc>
                <w:tcPr>
                  <w:tcW w:w="0" w:type="auto"/>
                  <w:shd w:val="clear" w:color="auto" w:fill="FFFFFF"/>
                  <w:vAlign w:val="center"/>
                  <w:hideMark/>
                </w:tcPr>
                <w:p w14:paraId="7B64988C" w14:textId="1B73CA75" w:rsidR="008029ED" w:rsidRDefault="008029ED" w:rsidP="008029ED">
                  <w:pPr>
                    <w:spacing w:line="276" w:lineRule="auto"/>
                    <w:jc w:val="center"/>
                    <w:rPr>
                      <w:rStyle w:val="lev"/>
                      <w:rFonts w:ascii="Arial" w:hAnsi="Arial" w:cs="Arial"/>
                      <w:b w:val="0"/>
                      <w:color w:val="000000"/>
                    </w:rPr>
                  </w:pPr>
                  <w:r w:rsidRPr="008029ED">
                    <w:rPr>
                      <w:rStyle w:val="lev"/>
                      <w:rFonts w:ascii="Arial" w:hAnsi="Arial" w:cs="Arial"/>
                      <w:b w:val="0"/>
                      <w:color w:val="000000"/>
                    </w:rPr>
                    <w:t>COMMUNIQUÉ DE PRESSE</w:t>
                  </w:r>
                </w:p>
                <w:p w14:paraId="442AA2A0" w14:textId="77777777" w:rsidR="008029ED" w:rsidRPr="008029ED" w:rsidRDefault="008029ED" w:rsidP="008029ED">
                  <w:pPr>
                    <w:spacing w:line="276" w:lineRule="auto"/>
                    <w:jc w:val="center"/>
                    <w:rPr>
                      <w:rStyle w:val="lev"/>
                      <w:rFonts w:ascii="Arial" w:hAnsi="Arial" w:cs="Arial"/>
                      <w:b w:val="0"/>
                      <w:color w:val="000000"/>
                    </w:rPr>
                  </w:pPr>
                </w:p>
                <w:p w14:paraId="5D3D1FBB" w14:textId="77777777" w:rsidR="008029ED" w:rsidRPr="008029ED" w:rsidRDefault="008029ED" w:rsidP="008029ED">
                  <w:pPr>
                    <w:spacing w:line="276" w:lineRule="auto"/>
                    <w:jc w:val="center"/>
                    <w:rPr>
                      <w:rFonts w:ascii="Arial" w:hAnsi="Arial" w:cs="Arial"/>
                      <w:b/>
                    </w:rPr>
                  </w:pPr>
                </w:p>
                <w:p w14:paraId="0CF71FEE" w14:textId="7B12CDF3" w:rsidR="008029ED" w:rsidRPr="008029ED" w:rsidRDefault="008029ED" w:rsidP="008029ED">
                  <w:pPr>
                    <w:spacing w:line="276" w:lineRule="auto"/>
                    <w:jc w:val="center"/>
                    <w:rPr>
                      <w:rFonts w:ascii="Arial" w:hAnsi="Arial" w:cs="Arial"/>
                      <w:sz w:val="20"/>
                    </w:rPr>
                  </w:pPr>
                  <w:r w:rsidRPr="008029ED">
                    <w:rPr>
                      <w:rFonts w:ascii="Arial" w:hAnsi="Arial" w:cs="Arial"/>
                      <w:b/>
                      <w:szCs w:val="32"/>
                    </w:rPr>
                    <w:t xml:space="preserve">L’élargissement de la prestation de compensation du handicap </w:t>
                  </w:r>
                  <w:r>
                    <w:rPr>
                      <w:rFonts w:ascii="Arial" w:hAnsi="Arial" w:cs="Arial"/>
                      <w:b/>
                      <w:szCs w:val="32"/>
                    </w:rPr>
                    <w:br/>
                  </w:r>
                  <w:r w:rsidRPr="008029ED">
                    <w:rPr>
                      <w:rFonts w:ascii="Arial" w:hAnsi="Arial" w:cs="Arial"/>
                      <w:b/>
                      <w:szCs w:val="32"/>
                    </w:rPr>
                    <w:t>aux besoins d’aide humaine et technique aux actes liés à la parentalité</w:t>
                  </w:r>
                </w:p>
                <w:tbl>
                  <w:tblPr>
                    <w:tblW w:w="5000" w:type="pct"/>
                    <w:jc w:val="center"/>
                    <w:tblCellMar>
                      <w:left w:w="0" w:type="dxa"/>
                      <w:right w:w="0" w:type="dxa"/>
                    </w:tblCellMar>
                    <w:tblLook w:val="04A0" w:firstRow="1" w:lastRow="0" w:firstColumn="1" w:lastColumn="0" w:noHBand="0" w:noVBand="1"/>
                  </w:tblPr>
                  <w:tblGrid>
                    <w:gridCol w:w="9639"/>
                  </w:tblGrid>
                  <w:tr w:rsidR="008029ED" w:rsidRPr="008029ED" w14:paraId="69D1507D" w14:textId="77777777" w:rsidTr="008441D6">
                    <w:trPr>
                      <w:jc w:val="center"/>
                    </w:trPr>
                    <w:tc>
                      <w:tcPr>
                        <w:tcW w:w="5000" w:type="pct"/>
                        <w:hideMark/>
                      </w:tcPr>
                      <w:p w14:paraId="7F909C83" w14:textId="77777777" w:rsidR="008029ED" w:rsidRPr="008029ED" w:rsidRDefault="008029ED" w:rsidP="00897EAB">
                        <w:pPr>
                          <w:framePr w:hSpace="60" w:wrap="around" w:vAnchor="text" w:hAnchor="text"/>
                          <w:spacing w:line="276" w:lineRule="auto"/>
                          <w:rPr>
                            <w:rFonts w:ascii="Arial" w:eastAsia="Times New Roman" w:hAnsi="Arial" w:cs="Arial"/>
                            <w:sz w:val="20"/>
                          </w:rPr>
                        </w:pPr>
                      </w:p>
                    </w:tc>
                  </w:tr>
                </w:tbl>
                <w:p w14:paraId="1E09B1D7" w14:textId="77777777" w:rsidR="008029ED" w:rsidRPr="008029ED" w:rsidRDefault="008029ED" w:rsidP="008029ED">
                  <w:pPr>
                    <w:spacing w:line="276" w:lineRule="auto"/>
                    <w:jc w:val="center"/>
                    <w:rPr>
                      <w:rFonts w:ascii="Arial" w:eastAsia="Times New Roman" w:hAnsi="Arial" w:cs="Arial"/>
                    </w:rPr>
                  </w:pPr>
                </w:p>
              </w:tc>
            </w:tr>
          </w:tbl>
          <w:p w14:paraId="4FC9D87D" w14:textId="77777777" w:rsidR="008029ED" w:rsidRPr="008029ED" w:rsidRDefault="008029ED" w:rsidP="008029ED">
            <w:pPr>
              <w:spacing w:line="276" w:lineRule="auto"/>
              <w:rPr>
                <w:rFonts w:ascii="Arial" w:hAnsi="Arial" w:cs="Arial"/>
              </w:rPr>
            </w:pPr>
          </w:p>
          <w:tbl>
            <w:tblPr>
              <w:tblpPr w:leftFromText="60" w:rightFromText="60" w:vertAnchor="text"/>
              <w:tblW w:w="4940" w:type="pct"/>
              <w:tblCellMar>
                <w:left w:w="0" w:type="dxa"/>
                <w:right w:w="0" w:type="dxa"/>
              </w:tblCellMar>
              <w:tblLook w:val="04A0" w:firstRow="1" w:lastRow="0" w:firstColumn="1" w:lastColumn="0" w:noHBand="0" w:noVBand="1"/>
            </w:tblPr>
            <w:tblGrid>
              <w:gridCol w:w="9523"/>
            </w:tblGrid>
            <w:tr w:rsidR="008029ED" w:rsidRPr="008029ED" w14:paraId="2AD50BDB" w14:textId="77777777" w:rsidTr="00E86F04">
              <w:tc>
                <w:tcPr>
                  <w:tcW w:w="5000" w:type="pct"/>
                  <w:vAlign w:val="center"/>
                  <w:hideMark/>
                </w:tcPr>
                <w:p w14:paraId="01CADC99" w14:textId="77777777" w:rsidR="008029ED" w:rsidRDefault="008029ED" w:rsidP="008029ED">
                  <w:pPr>
                    <w:spacing w:before="120" w:after="120" w:line="276" w:lineRule="auto"/>
                    <w:jc w:val="both"/>
                    <w:rPr>
                      <w:rFonts w:ascii="Arial" w:hAnsi="Arial" w:cs="Arial"/>
                    </w:rPr>
                  </w:pPr>
                  <w:r w:rsidRPr="008029ED">
                    <w:rPr>
                      <w:rFonts w:ascii="Arial" w:hAnsi="Arial" w:cs="Arial"/>
                    </w:rPr>
                    <w:t>L’élargissement de la prestation de compensation du handicap (PCH) à la prise en charge des besoins liés à la parentalité entre en vigueur le 1er janvier 2021 pour accompagner 17 000 parents en situation de handicap dans leurs actes quotidiens liés à la parentalité, d</w:t>
                  </w:r>
                  <w:r>
                    <w:rPr>
                      <w:rFonts w:ascii="Arial" w:hAnsi="Arial" w:cs="Arial"/>
                    </w:rPr>
                    <w:t>ès la naissance de leur enfant.</w:t>
                  </w:r>
                </w:p>
                <w:p w14:paraId="505E8391" w14:textId="2CC94914" w:rsidR="008029ED" w:rsidRDefault="008029ED" w:rsidP="008029ED">
                  <w:pPr>
                    <w:spacing w:before="120" w:after="120" w:line="276" w:lineRule="auto"/>
                    <w:jc w:val="both"/>
                    <w:rPr>
                      <w:rFonts w:ascii="Arial" w:hAnsi="Arial" w:cs="Arial"/>
                    </w:rPr>
                  </w:pPr>
                  <w:r w:rsidRPr="008029ED">
                    <w:rPr>
                      <w:rFonts w:ascii="Arial" w:hAnsi="Arial" w:cs="Arial"/>
                    </w:rPr>
                    <w:t xml:space="preserve">L’accès à la parentalité est une condition du droit à une vie « comme les autres » </w:t>
                  </w:r>
                  <w:r w:rsidR="00795000">
                    <w:rPr>
                      <w:rFonts w:ascii="Arial" w:hAnsi="Arial" w:cs="Arial"/>
                    </w:rPr>
                    <w:br/>
                  </w:r>
                  <w:r w:rsidRPr="008029ED">
                    <w:rPr>
                      <w:rFonts w:ascii="Arial" w:hAnsi="Arial" w:cs="Arial"/>
                    </w:rPr>
                    <w:t xml:space="preserve">et constitue en cela une attente très ancienne des personnes en situation de handicap. </w:t>
                  </w:r>
                  <w:r w:rsidR="00795000">
                    <w:rPr>
                      <w:rFonts w:ascii="Arial" w:hAnsi="Arial" w:cs="Arial"/>
                    </w:rPr>
                    <w:br/>
                  </w:r>
                  <w:r w:rsidRPr="008029ED">
                    <w:rPr>
                      <w:rFonts w:ascii="Arial" w:hAnsi="Arial" w:cs="Arial"/>
                    </w:rPr>
                    <w:t xml:space="preserve">Sa mise en œuvre concrétise l’engagement du Président de la République lors de la Conférence nationale du handicap du 11 février 2020. </w:t>
                  </w:r>
                </w:p>
                <w:p w14:paraId="3377B1C2" w14:textId="4405A52B" w:rsidR="008029ED" w:rsidRPr="008029ED" w:rsidRDefault="008029ED" w:rsidP="008029ED">
                  <w:pPr>
                    <w:spacing w:before="120" w:after="120" w:line="276" w:lineRule="auto"/>
                    <w:jc w:val="both"/>
                    <w:rPr>
                      <w:rFonts w:ascii="Arial" w:hAnsi="Arial" w:cs="Arial"/>
                      <w:color w:val="000000"/>
                    </w:rPr>
                  </w:pPr>
                  <w:r w:rsidRPr="008029ED">
                    <w:rPr>
                      <w:rFonts w:ascii="Arial" w:hAnsi="Arial" w:cs="Arial"/>
                    </w:rPr>
                    <w:t xml:space="preserve">Selon Sophie </w:t>
                  </w:r>
                  <w:proofErr w:type="spellStart"/>
                  <w:r w:rsidRPr="008029ED">
                    <w:rPr>
                      <w:rFonts w:ascii="Arial" w:hAnsi="Arial" w:cs="Arial"/>
                    </w:rPr>
                    <w:t>Cluzel</w:t>
                  </w:r>
                  <w:proofErr w:type="spellEnd"/>
                  <w:r w:rsidRPr="008029ED">
                    <w:rPr>
                      <w:rFonts w:ascii="Arial" w:hAnsi="Arial" w:cs="Arial"/>
                    </w:rPr>
                    <w:t>, « </w:t>
                  </w:r>
                  <w:r w:rsidRPr="008029ED">
                    <w:rPr>
                      <w:rFonts w:ascii="Arial" w:hAnsi="Arial" w:cs="Arial"/>
                      <w:i/>
                    </w:rPr>
                    <w:t>l</w:t>
                  </w:r>
                  <w:r w:rsidRPr="008029ED">
                    <w:rPr>
                      <w:rStyle w:val="Accentuation"/>
                      <w:rFonts w:ascii="Arial" w:hAnsi="Arial" w:cs="Arial"/>
                    </w:rPr>
                    <w:t>a prestation de compensation du handicap pour la parentalité est un vrai levier pour rendre concrets et effectifs les droits</w:t>
                  </w:r>
                  <w:r w:rsidRPr="008029ED">
                    <w:rPr>
                      <w:rFonts w:ascii="Arial" w:hAnsi="Arial" w:cs="Arial"/>
                    </w:rPr>
                    <w:t> </w:t>
                  </w:r>
                  <w:r w:rsidRPr="008029ED">
                    <w:rPr>
                      <w:rFonts w:ascii="Arial" w:hAnsi="Arial" w:cs="Arial"/>
                      <w:i/>
                    </w:rPr>
                    <w:t xml:space="preserve">des personnes en situation de handicap de fonder ou agrandir une famille. Cet élargissement historique de son champ permet d’améliorer la vie et de renforcer le pouvoir d’agir des personnes en situation </w:t>
                  </w:r>
                  <w:r w:rsidR="00FF725D">
                    <w:rPr>
                      <w:rFonts w:ascii="Arial" w:hAnsi="Arial" w:cs="Arial"/>
                      <w:i/>
                    </w:rPr>
                    <w:br/>
                  </w:r>
                  <w:r w:rsidRPr="008029ED">
                    <w:rPr>
                      <w:rFonts w:ascii="Arial" w:hAnsi="Arial" w:cs="Arial"/>
                      <w:i/>
                    </w:rPr>
                    <w:t>de handicap.</w:t>
                  </w:r>
                  <w:r w:rsidRPr="008029ED">
                    <w:rPr>
                      <w:rFonts w:ascii="Arial" w:hAnsi="Arial" w:cs="Arial"/>
                    </w:rPr>
                    <w:t xml:space="preserve"> » </w:t>
                  </w:r>
                </w:p>
                <w:p w14:paraId="11EB1FFE" w14:textId="11C06147" w:rsidR="008029ED" w:rsidRPr="008029ED" w:rsidRDefault="008029ED" w:rsidP="008029ED">
                  <w:pPr>
                    <w:spacing w:before="120" w:after="120" w:line="276" w:lineRule="auto"/>
                    <w:jc w:val="both"/>
                    <w:rPr>
                      <w:rFonts w:ascii="Arial" w:hAnsi="Arial" w:cs="Arial"/>
                      <w:color w:val="000000"/>
                    </w:rPr>
                  </w:pPr>
                  <w:r w:rsidRPr="008029ED">
                    <w:rPr>
                      <w:rFonts w:ascii="Arial" w:hAnsi="Arial" w:cs="Arial"/>
                      <w:color w:val="000000"/>
                    </w:rPr>
                    <w:t>Dès lors que les parents en situation de handicap ont des enfants qui</w:t>
                  </w:r>
                  <w:r w:rsidR="00457E72">
                    <w:rPr>
                      <w:rFonts w:ascii="Arial" w:hAnsi="Arial" w:cs="Arial"/>
                      <w:color w:val="000000"/>
                    </w:rPr>
                    <w:t xml:space="preserve">, compte tenu de </w:t>
                  </w:r>
                  <w:r w:rsidR="00457E72">
                    <w:rPr>
                      <w:rFonts w:ascii="Arial" w:hAnsi="Arial" w:cs="Arial"/>
                      <w:color w:val="000000"/>
                    </w:rPr>
                    <w:br/>
                    <w:t xml:space="preserve">leur âge, </w:t>
                  </w:r>
                  <w:r w:rsidRPr="008029ED">
                    <w:rPr>
                      <w:rFonts w:ascii="Arial" w:hAnsi="Arial" w:cs="Arial"/>
                      <w:color w:val="000000"/>
                    </w:rPr>
                    <w:t>n’ont pas l’autonomie suffisante pour des gestes du quotidien comme</w:t>
                  </w:r>
                  <w:r w:rsidR="00457E72">
                    <w:rPr>
                      <w:rFonts w:ascii="Arial" w:hAnsi="Arial" w:cs="Arial"/>
                      <w:color w:val="000000"/>
                    </w:rPr>
                    <w:t xml:space="preserve"> </w:t>
                  </w:r>
                  <w:r w:rsidRPr="008029ED">
                    <w:rPr>
                      <w:rFonts w:ascii="Arial" w:hAnsi="Arial" w:cs="Arial"/>
                      <w:color w:val="000000"/>
                    </w:rPr>
                    <w:t xml:space="preserve">se laver ou s’habiller par exemple, toute personne bénéficiaire de la prestation de compensation du handicap au titre de l’aide humaine, empêchée totalement ou partiellement du fait de son handicap, pourra rémunérer un intervenant au titre de l’aide humaine. </w:t>
                  </w:r>
                </w:p>
                <w:p w14:paraId="043715D0" w14:textId="77777777" w:rsidR="008029ED" w:rsidRPr="008029ED" w:rsidRDefault="008029ED" w:rsidP="008029ED">
                  <w:pPr>
                    <w:spacing w:before="120" w:after="120" w:line="276" w:lineRule="auto"/>
                    <w:jc w:val="both"/>
                    <w:rPr>
                      <w:rFonts w:ascii="Arial" w:hAnsi="Arial" w:cs="Arial"/>
                      <w:color w:val="000000"/>
                    </w:rPr>
                  </w:pPr>
                  <w:r w:rsidRPr="008029ED">
                    <w:rPr>
                      <w:rFonts w:ascii="Arial" w:hAnsi="Arial" w:cs="Arial"/>
                      <w:color w:val="000000"/>
                    </w:rPr>
                    <w:t>Le montant est fixé à hauteur de 900€ par mois lorsque l'enfant a moins de 3 ans et de 450€ par mois lorsque l'enfant a entre 3 et 7 ans. Les familles monoparentales bénéficieront quant à elles d'une aide de 1 350 € et 675 € respectivement.</w:t>
                  </w:r>
                </w:p>
                <w:p w14:paraId="504C8B6D" w14:textId="04EF417D" w:rsidR="008029ED" w:rsidRPr="008029ED" w:rsidRDefault="008029ED" w:rsidP="008029ED">
                  <w:pPr>
                    <w:spacing w:before="120" w:after="120" w:line="276" w:lineRule="auto"/>
                    <w:jc w:val="both"/>
                    <w:rPr>
                      <w:rFonts w:ascii="Arial" w:hAnsi="Arial" w:cs="Arial"/>
                      <w:color w:val="000000"/>
                    </w:rPr>
                  </w:pPr>
                  <w:r w:rsidRPr="008029ED">
                    <w:rPr>
                      <w:rFonts w:ascii="Arial" w:hAnsi="Arial" w:cs="Arial"/>
                      <w:color w:val="000000"/>
                    </w:rPr>
                    <w:t>S'y ajouteront des aides forfaitaires pour la partie aides techniques, concernant notamment du matériel spécialisé de puériculture. Les aides techniques seront allouées automatiquement au parent bénéficiaire de la PCH lors de la naissance de son enfant, puis aux troisième et sixiè</w:t>
                  </w:r>
                  <w:r w:rsidR="00795000">
                    <w:rPr>
                      <w:rFonts w:ascii="Arial" w:hAnsi="Arial" w:cs="Arial"/>
                      <w:color w:val="000000"/>
                    </w:rPr>
                    <w:t xml:space="preserve">me anniversaires. Leur montant atteindra </w:t>
                  </w:r>
                  <w:r w:rsidRPr="008029ED">
                    <w:rPr>
                      <w:rFonts w:ascii="Arial" w:hAnsi="Arial" w:cs="Arial"/>
                      <w:color w:val="000000"/>
                    </w:rPr>
                    <w:t xml:space="preserve">3 600 € pour les six premières années de l’enfant. </w:t>
                  </w:r>
                </w:p>
                <w:p w14:paraId="238DBDA6" w14:textId="77777777" w:rsidR="008029ED" w:rsidRPr="008029ED" w:rsidRDefault="008029ED" w:rsidP="008029ED">
                  <w:pPr>
                    <w:spacing w:before="120" w:after="120" w:line="276" w:lineRule="auto"/>
                    <w:jc w:val="both"/>
                    <w:rPr>
                      <w:rFonts w:ascii="Arial" w:hAnsi="Arial" w:cs="Arial"/>
                      <w:color w:val="000000"/>
                    </w:rPr>
                  </w:pPr>
                  <w:r w:rsidRPr="008029ED">
                    <w:rPr>
                      <w:rFonts w:ascii="Arial" w:hAnsi="Arial" w:cs="Arial"/>
                      <w:color w:val="000000"/>
                    </w:rPr>
                    <w:lastRenderedPageBreak/>
                    <w:t xml:space="preserve">La loi de financement de la sécurité sociale (LFSS) pour 2021 prévoit une enveloppe de 200 millions d'euros de compensation des dépenses mises en œuvre en 2021 par une avance des départements, acteurs pleinement engagés aux côtés du Gouvernement dans l’amélioration de l’accompagnement et des droits des personnes en situation de handicap. </w:t>
                  </w:r>
                </w:p>
                <w:p w14:paraId="0FB1561C" w14:textId="77777777" w:rsidR="008029ED" w:rsidRPr="008029ED" w:rsidRDefault="008029ED" w:rsidP="008029ED">
                  <w:pPr>
                    <w:spacing w:before="120" w:after="120" w:line="276" w:lineRule="auto"/>
                    <w:rPr>
                      <w:rFonts w:ascii="Arial" w:hAnsi="Arial" w:cs="Arial"/>
                      <w:color w:val="000000"/>
                    </w:rPr>
                  </w:pPr>
                  <w:r w:rsidRPr="008029ED">
                    <w:rPr>
                      <w:rFonts w:ascii="Arial" w:hAnsi="Arial" w:cs="Arial"/>
                      <w:color w:val="000000"/>
                    </w:rPr>
                    <w:t xml:space="preserve"> </w:t>
                  </w:r>
                </w:p>
                <w:p w14:paraId="5AC5EF55" w14:textId="77777777" w:rsidR="008029ED" w:rsidRPr="008029ED" w:rsidRDefault="008029ED" w:rsidP="008029ED">
                  <w:pPr>
                    <w:rPr>
                      <w:rStyle w:val="Lienhypertexte"/>
                      <w:rFonts w:ascii="Arial" w:hAnsi="Arial" w:cs="Arial"/>
                      <w:b/>
                      <w:sz w:val="22"/>
                      <w:szCs w:val="22"/>
                    </w:rPr>
                  </w:pPr>
                  <w:r w:rsidRPr="008029ED">
                    <w:rPr>
                      <w:rFonts w:ascii="Arial" w:hAnsi="Arial" w:cs="Arial"/>
                      <w:sz w:val="22"/>
                      <w:szCs w:val="22"/>
                    </w:rPr>
                    <w:t>Contact presse Secrétariat d’Etat chargé des Personnes handicapées :</w:t>
                  </w:r>
                  <w:r w:rsidRPr="008029ED">
                    <w:rPr>
                      <w:rFonts w:ascii="Arial" w:hAnsi="Arial" w:cs="Arial"/>
                      <w:b/>
                      <w:sz w:val="22"/>
                      <w:szCs w:val="22"/>
                    </w:rPr>
                    <w:t xml:space="preserve"> </w:t>
                  </w:r>
                  <w:r w:rsidRPr="008029ED">
                    <w:rPr>
                      <w:rFonts w:ascii="Arial" w:hAnsi="Arial" w:cs="Arial"/>
                      <w:b/>
                      <w:sz w:val="22"/>
                      <w:szCs w:val="22"/>
                    </w:rPr>
                    <w:br/>
                  </w:r>
                  <w:hyperlink r:id="rId9" w:history="1">
                    <w:r w:rsidRPr="008029ED">
                      <w:rPr>
                        <w:rStyle w:val="Lienhypertexte"/>
                        <w:rFonts w:ascii="Arial" w:hAnsi="Arial" w:cs="Arial"/>
                        <w:b/>
                        <w:sz w:val="22"/>
                        <w:szCs w:val="22"/>
                      </w:rPr>
                      <w:t>seph.communication@pm.gouv.fr</w:t>
                    </w:r>
                  </w:hyperlink>
                </w:p>
                <w:p w14:paraId="3CD7C0B3" w14:textId="6932BE93" w:rsidR="008029ED" w:rsidRPr="008029ED" w:rsidRDefault="008029ED" w:rsidP="008029ED">
                  <w:pPr>
                    <w:spacing w:before="120" w:after="120" w:line="276" w:lineRule="auto"/>
                    <w:rPr>
                      <w:rFonts w:ascii="Arial" w:hAnsi="Arial" w:cs="Arial"/>
                      <w:sz w:val="22"/>
                      <w:szCs w:val="22"/>
                    </w:rPr>
                  </w:pPr>
                  <w:bookmarkStart w:id="0" w:name="_GoBack"/>
                  <w:bookmarkEnd w:id="0"/>
                </w:p>
                <w:p w14:paraId="3C08709D" w14:textId="77777777" w:rsidR="008029ED" w:rsidRPr="008029ED" w:rsidRDefault="008029ED" w:rsidP="008029ED">
                  <w:pPr>
                    <w:spacing w:before="120" w:after="120" w:line="276" w:lineRule="auto"/>
                    <w:rPr>
                      <w:rFonts w:ascii="Arial" w:hAnsi="Arial" w:cs="Arial"/>
                      <w:color w:val="000000"/>
                    </w:rPr>
                  </w:pPr>
                </w:p>
              </w:tc>
            </w:tr>
            <w:tr w:rsidR="008029ED" w:rsidRPr="008029ED" w14:paraId="5F467613" w14:textId="77777777" w:rsidTr="00E86F04">
              <w:tc>
                <w:tcPr>
                  <w:tcW w:w="5000" w:type="pct"/>
                  <w:vAlign w:val="center"/>
                </w:tcPr>
                <w:p w14:paraId="4A349BB6" w14:textId="77777777" w:rsidR="008029ED" w:rsidRPr="008029ED" w:rsidRDefault="008029ED" w:rsidP="008029ED">
                  <w:pPr>
                    <w:spacing w:before="100" w:beforeAutospacing="1" w:after="100" w:afterAutospacing="1"/>
                    <w:jc w:val="both"/>
                    <w:rPr>
                      <w:rFonts w:ascii="Arial" w:hAnsi="Arial" w:cs="Arial"/>
                      <w:bCs/>
                      <w:color w:val="000000"/>
                    </w:rPr>
                  </w:pPr>
                  <w:r w:rsidRPr="008029ED">
                    <w:rPr>
                      <w:rFonts w:ascii="Arial" w:hAnsi="Arial" w:cs="Arial"/>
                      <w:bCs/>
                      <w:color w:val="000000"/>
                    </w:rPr>
                    <w:lastRenderedPageBreak/>
                    <w:t> </w:t>
                  </w:r>
                </w:p>
              </w:tc>
            </w:tr>
          </w:tbl>
          <w:p w14:paraId="2D2C9264" w14:textId="77777777" w:rsidR="008029ED" w:rsidRPr="008029ED" w:rsidRDefault="008029ED" w:rsidP="00E86F04">
            <w:pPr>
              <w:rPr>
                <w:rFonts w:ascii="Arial" w:eastAsia="Times New Roman" w:hAnsi="Arial" w:cs="Arial"/>
              </w:rPr>
            </w:pPr>
          </w:p>
        </w:tc>
      </w:tr>
    </w:tbl>
    <w:p w14:paraId="74301325" w14:textId="674F99C2" w:rsidR="00743737" w:rsidRPr="008029ED" w:rsidRDefault="00743737" w:rsidP="008029ED">
      <w:pPr>
        <w:rPr>
          <w:rFonts w:ascii="Arial" w:hAnsi="Arial" w:cs="Arial"/>
        </w:rPr>
      </w:pPr>
    </w:p>
    <w:sectPr w:rsidR="00743737" w:rsidRPr="008029ED" w:rsidSect="00795000">
      <w:footerReference w:type="default" r:id="rId10"/>
      <w:pgSz w:w="11900" w:h="16840"/>
      <w:pgMar w:top="1418" w:right="8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81D3" w14:textId="77777777" w:rsidR="00F33FDB" w:rsidRDefault="00F33FDB" w:rsidP="00F33FDB">
      <w:r>
        <w:separator/>
      </w:r>
    </w:p>
  </w:endnote>
  <w:endnote w:type="continuationSeparator" w:id="0">
    <w:p w14:paraId="6C80D257" w14:textId="77777777" w:rsidR="00F33FDB" w:rsidRDefault="00F33FDB" w:rsidP="00F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BC14" w14:textId="7600BCBF" w:rsidR="00F33FDB" w:rsidRDefault="00F33FDB">
    <w:pPr>
      <w:pStyle w:val="Pieddepage"/>
    </w:pPr>
    <w:r>
      <w:rPr>
        <w:noProof/>
      </w:rPr>
      <mc:AlternateContent>
        <mc:Choice Requires="wps">
          <w:drawing>
            <wp:anchor distT="0" distB="0" distL="114300" distR="114300" simplePos="0" relativeHeight="251659264" behindDoc="0" locked="0" layoutInCell="0" allowOverlap="1" wp14:anchorId="1555F110" wp14:editId="7D3EAE39">
              <wp:simplePos x="0" y="0"/>
              <wp:positionH relativeFrom="page">
                <wp:posOffset>0</wp:posOffset>
              </wp:positionH>
              <wp:positionV relativeFrom="page">
                <wp:posOffset>10229215</wp:posOffset>
              </wp:positionV>
              <wp:extent cx="7556500" cy="273050"/>
              <wp:effectExtent l="0" t="0" r="0" b="12700"/>
              <wp:wrapNone/>
              <wp:docPr id="1" name="MSIPCMab854f6c821123e569cd1e29"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0CFE9" w14:textId="278CC0BD" w:rsidR="00F33FDB" w:rsidRPr="00F33FDB" w:rsidRDefault="00F33FDB" w:rsidP="00F33FDB">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55F110" id="_x0000_t202" coordsize="21600,21600" o:spt="202" path="m,l,21600r21600,l21600,xe">
              <v:stroke joinstyle="miter"/>
              <v:path gradientshapeok="t" o:connecttype="rect"/>
            </v:shapetype>
            <v:shape id="MSIPCMab854f6c821123e569cd1e29" o:spid="_x0000_s1026" type="#_x0000_t202" alt="{&quot;HashCode&quot;:967973103,&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xGwMAADY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" o:allowincell="f" filled="f" stroked="f" strokeweight=".5pt">
              <v:textbox inset="20pt,0,,0">
                <w:txbxContent>
                  <w:p w14:paraId="6780CFE9" w14:textId="278CC0BD" w:rsidR="00F33FDB" w:rsidRPr="00F33FDB" w:rsidRDefault="00F33FDB" w:rsidP="00F33FDB">
                    <w:pPr>
                      <w:rPr>
                        <w:rFonts w:ascii="Calibri" w:hAnsi="Calibri" w:cs="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DB84" w14:textId="77777777" w:rsidR="00F33FDB" w:rsidRDefault="00F33FDB" w:rsidP="00F33FDB">
      <w:r>
        <w:separator/>
      </w:r>
    </w:p>
  </w:footnote>
  <w:footnote w:type="continuationSeparator" w:id="0">
    <w:p w14:paraId="5BF18044" w14:textId="77777777" w:rsidR="00F33FDB" w:rsidRDefault="00F33FDB" w:rsidP="00F3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4C9"/>
    <w:multiLevelType w:val="hybridMultilevel"/>
    <w:tmpl w:val="9C84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1C354C"/>
    <w:multiLevelType w:val="hybridMultilevel"/>
    <w:tmpl w:val="9E884CF8"/>
    <w:lvl w:ilvl="0" w:tplc="6902E4BC">
      <w:start w:val="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7"/>
    <w:rsid w:val="0003132B"/>
    <w:rsid w:val="000341AE"/>
    <w:rsid w:val="00044CF4"/>
    <w:rsid w:val="00063996"/>
    <w:rsid w:val="00075DA0"/>
    <w:rsid w:val="000824FD"/>
    <w:rsid w:val="000C5F3E"/>
    <w:rsid w:val="000D6FAC"/>
    <w:rsid w:val="0010457C"/>
    <w:rsid w:val="0013428D"/>
    <w:rsid w:val="00196AF3"/>
    <w:rsid w:val="001A441C"/>
    <w:rsid w:val="00297732"/>
    <w:rsid w:val="002D0D87"/>
    <w:rsid w:val="002F72A6"/>
    <w:rsid w:val="00315596"/>
    <w:rsid w:val="003341E6"/>
    <w:rsid w:val="00380140"/>
    <w:rsid w:val="003C4701"/>
    <w:rsid w:val="003E1120"/>
    <w:rsid w:val="003F55A1"/>
    <w:rsid w:val="00424C6D"/>
    <w:rsid w:val="00431598"/>
    <w:rsid w:val="0044524E"/>
    <w:rsid w:val="00457E72"/>
    <w:rsid w:val="00483D1E"/>
    <w:rsid w:val="004D1EB0"/>
    <w:rsid w:val="004E53FF"/>
    <w:rsid w:val="005306C8"/>
    <w:rsid w:val="005529A0"/>
    <w:rsid w:val="00571DC1"/>
    <w:rsid w:val="005B199E"/>
    <w:rsid w:val="005C0FE7"/>
    <w:rsid w:val="005E3BEC"/>
    <w:rsid w:val="00631570"/>
    <w:rsid w:val="00686EF2"/>
    <w:rsid w:val="006D73F1"/>
    <w:rsid w:val="006F34BE"/>
    <w:rsid w:val="007052E1"/>
    <w:rsid w:val="00743737"/>
    <w:rsid w:val="00754A08"/>
    <w:rsid w:val="007630A0"/>
    <w:rsid w:val="00795000"/>
    <w:rsid w:val="007958B9"/>
    <w:rsid w:val="007B25E2"/>
    <w:rsid w:val="008029ED"/>
    <w:rsid w:val="0080675D"/>
    <w:rsid w:val="00811ADD"/>
    <w:rsid w:val="00882C6E"/>
    <w:rsid w:val="00883C91"/>
    <w:rsid w:val="00897EAB"/>
    <w:rsid w:val="009204C3"/>
    <w:rsid w:val="009401A3"/>
    <w:rsid w:val="00A428A1"/>
    <w:rsid w:val="00A8465F"/>
    <w:rsid w:val="00AA6903"/>
    <w:rsid w:val="00AD363D"/>
    <w:rsid w:val="00AE5402"/>
    <w:rsid w:val="00B27012"/>
    <w:rsid w:val="00B27B77"/>
    <w:rsid w:val="00B30089"/>
    <w:rsid w:val="00B44824"/>
    <w:rsid w:val="00BD27E3"/>
    <w:rsid w:val="00BE457B"/>
    <w:rsid w:val="00C04885"/>
    <w:rsid w:val="00C237AB"/>
    <w:rsid w:val="00C3015F"/>
    <w:rsid w:val="00C507DF"/>
    <w:rsid w:val="00C85A40"/>
    <w:rsid w:val="00C87C06"/>
    <w:rsid w:val="00D43AAD"/>
    <w:rsid w:val="00D539CA"/>
    <w:rsid w:val="00D7486F"/>
    <w:rsid w:val="00D76455"/>
    <w:rsid w:val="00D85293"/>
    <w:rsid w:val="00DA5A39"/>
    <w:rsid w:val="00DB11DA"/>
    <w:rsid w:val="00DC7896"/>
    <w:rsid w:val="00DD1B6E"/>
    <w:rsid w:val="00E00349"/>
    <w:rsid w:val="00E12D53"/>
    <w:rsid w:val="00E6350D"/>
    <w:rsid w:val="00E6506B"/>
    <w:rsid w:val="00EC722A"/>
    <w:rsid w:val="00ED41F5"/>
    <w:rsid w:val="00F33FDB"/>
    <w:rsid w:val="00F43B68"/>
    <w:rsid w:val="00F50EB2"/>
    <w:rsid w:val="00F541A4"/>
    <w:rsid w:val="00FA6FA1"/>
    <w:rsid w:val="00FB0DF6"/>
    <w:rsid w:val="00FE39FD"/>
    <w:rsid w:val="00FF4ACC"/>
    <w:rsid w:val="00FF7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21CA5CD"/>
  <w14:defaultImageDpi w14:val="300"/>
  <w15:docId w15:val="{04394856-7D23-4972-B2FE-C028E96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3737"/>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743737"/>
    <w:rPr>
      <w:b/>
      <w:bCs/>
    </w:rPr>
  </w:style>
  <w:style w:type="paragraph" w:customStyle="1" w:styleId="yiv1840748461msonormal">
    <w:name w:val="yiv1840748461msonormal"/>
    <w:basedOn w:val="Normal"/>
    <w:rsid w:val="00743737"/>
    <w:pPr>
      <w:spacing w:before="100" w:beforeAutospacing="1" w:after="100" w:afterAutospacing="1"/>
    </w:pPr>
    <w:rPr>
      <w:rFonts w:ascii="Times New Roman" w:hAnsi="Times New Roman"/>
      <w:sz w:val="20"/>
      <w:szCs w:val="20"/>
    </w:rPr>
  </w:style>
  <w:style w:type="paragraph" w:customStyle="1" w:styleId="yiv1840748461msobodytext">
    <w:name w:val="yiv1840748461msobodytext"/>
    <w:basedOn w:val="Normal"/>
    <w:rsid w:val="00743737"/>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F50EB2"/>
    <w:pPr>
      <w:ind w:left="720"/>
      <w:contextualSpacing/>
    </w:pPr>
  </w:style>
  <w:style w:type="paragraph" w:styleId="En-tte">
    <w:name w:val="header"/>
    <w:basedOn w:val="Normal"/>
    <w:link w:val="En-tteCar"/>
    <w:uiPriority w:val="99"/>
    <w:unhideWhenUsed/>
    <w:rsid w:val="00F33FDB"/>
    <w:pPr>
      <w:tabs>
        <w:tab w:val="center" w:pos="4536"/>
        <w:tab w:val="right" w:pos="9072"/>
      </w:tabs>
    </w:pPr>
  </w:style>
  <w:style w:type="character" w:customStyle="1" w:styleId="En-tteCar">
    <w:name w:val="En-tête Car"/>
    <w:basedOn w:val="Policepardfaut"/>
    <w:link w:val="En-tte"/>
    <w:uiPriority w:val="99"/>
    <w:rsid w:val="00F33FDB"/>
  </w:style>
  <w:style w:type="paragraph" w:styleId="Pieddepage">
    <w:name w:val="footer"/>
    <w:basedOn w:val="Normal"/>
    <w:link w:val="PieddepageCar"/>
    <w:uiPriority w:val="99"/>
    <w:unhideWhenUsed/>
    <w:rsid w:val="00F33FDB"/>
    <w:pPr>
      <w:tabs>
        <w:tab w:val="center" w:pos="4536"/>
        <w:tab w:val="right" w:pos="9072"/>
      </w:tabs>
    </w:pPr>
  </w:style>
  <w:style w:type="character" w:customStyle="1" w:styleId="PieddepageCar">
    <w:name w:val="Pied de page Car"/>
    <w:basedOn w:val="Policepardfaut"/>
    <w:link w:val="Pieddepage"/>
    <w:uiPriority w:val="99"/>
    <w:rsid w:val="00F33FDB"/>
  </w:style>
  <w:style w:type="character" w:styleId="Marquedecommentaire">
    <w:name w:val="annotation reference"/>
    <w:basedOn w:val="Policepardfaut"/>
    <w:uiPriority w:val="99"/>
    <w:semiHidden/>
    <w:unhideWhenUsed/>
    <w:rsid w:val="004E53FF"/>
    <w:rPr>
      <w:sz w:val="16"/>
      <w:szCs w:val="16"/>
    </w:rPr>
  </w:style>
  <w:style w:type="paragraph" w:styleId="Commentaire">
    <w:name w:val="annotation text"/>
    <w:basedOn w:val="Normal"/>
    <w:link w:val="CommentaireCar"/>
    <w:uiPriority w:val="99"/>
    <w:semiHidden/>
    <w:unhideWhenUsed/>
    <w:rsid w:val="004E53FF"/>
    <w:rPr>
      <w:sz w:val="20"/>
      <w:szCs w:val="20"/>
    </w:rPr>
  </w:style>
  <w:style w:type="character" w:customStyle="1" w:styleId="CommentaireCar">
    <w:name w:val="Commentaire Car"/>
    <w:basedOn w:val="Policepardfaut"/>
    <w:link w:val="Commentaire"/>
    <w:uiPriority w:val="99"/>
    <w:semiHidden/>
    <w:rsid w:val="004E53FF"/>
    <w:rPr>
      <w:sz w:val="20"/>
      <w:szCs w:val="20"/>
    </w:rPr>
  </w:style>
  <w:style w:type="paragraph" w:styleId="Objetducommentaire">
    <w:name w:val="annotation subject"/>
    <w:basedOn w:val="Commentaire"/>
    <w:next w:val="Commentaire"/>
    <w:link w:val="ObjetducommentaireCar"/>
    <w:uiPriority w:val="99"/>
    <w:semiHidden/>
    <w:unhideWhenUsed/>
    <w:rsid w:val="004E53FF"/>
    <w:rPr>
      <w:b/>
      <w:bCs/>
    </w:rPr>
  </w:style>
  <w:style w:type="character" w:customStyle="1" w:styleId="ObjetducommentaireCar">
    <w:name w:val="Objet du commentaire Car"/>
    <w:basedOn w:val="CommentaireCar"/>
    <w:link w:val="Objetducommentaire"/>
    <w:uiPriority w:val="99"/>
    <w:semiHidden/>
    <w:rsid w:val="004E53FF"/>
    <w:rPr>
      <w:b/>
      <w:bCs/>
      <w:sz w:val="20"/>
      <w:szCs w:val="20"/>
    </w:rPr>
  </w:style>
  <w:style w:type="paragraph" w:styleId="Textedebulles">
    <w:name w:val="Balloon Text"/>
    <w:basedOn w:val="Normal"/>
    <w:link w:val="TextedebullesCar"/>
    <w:uiPriority w:val="99"/>
    <w:semiHidden/>
    <w:unhideWhenUsed/>
    <w:rsid w:val="004E53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3FF"/>
    <w:rPr>
      <w:rFonts w:ascii="Segoe UI" w:hAnsi="Segoe UI" w:cs="Segoe UI"/>
      <w:sz w:val="18"/>
      <w:szCs w:val="18"/>
    </w:rPr>
  </w:style>
  <w:style w:type="character" w:styleId="Lienhypertexte">
    <w:name w:val="Hyperlink"/>
    <w:basedOn w:val="Policepardfaut"/>
    <w:uiPriority w:val="99"/>
    <w:unhideWhenUsed/>
    <w:rsid w:val="00631570"/>
    <w:rPr>
      <w:color w:val="0000FF" w:themeColor="hyperlink"/>
      <w:u w:val="single"/>
    </w:rPr>
  </w:style>
  <w:style w:type="character" w:styleId="Accentuation">
    <w:name w:val="Emphasis"/>
    <w:basedOn w:val="Policepardfaut"/>
    <w:uiPriority w:val="20"/>
    <w:qFormat/>
    <w:rsid w:val="00315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993">
      <w:bodyDiv w:val="1"/>
      <w:marLeft w:val="0"/>
      <w:marRight w:val="0"/>
      <w:marTop w:val="0"/>
      <w:marBottom w:val="0"/>
      <w:divBdr>
        <w:top w:val="none" w:sz="0" w:space="0" w:color="auto"/>
        <w:left w:val="none" w:sz="0" w:space="0" w:color="auto"/>
        <w:bottom w:val="none" w:sz="0" w:space="0" w:color="auto"/>
        <w:right w:val="none" w:sz="0" w:space="0" w:color="auto"/>
      </w:divBdr>
    </w:div>
    <w:div w:id="487133382">
      <w:bodyDiv w:val="1"/>
      <w:marLeft w:val="0"/>
      <w:marRight w:val="0"/>
      <w:marTop w:val="0"/>
      <w:marBottom w:val="0"/>
      <w:divBdr>
        <w:top w:val="none" w:sz="0" w:space="0" w:color="auto"/>
        <w:left w:val="none" w:sz="0" w:space="0" w:color="auto"/>
        <w:bottom w:val="none" w:sz="0" w:space="0" w:color="auto"/>
        <w:right w:val="none" w:sz="0" w:space="0" w:color="auto"/>
      </w:divBdr>
    </w:div>
    <w:div w:id="676156817">
      <w:bodyDiv w:val="1"/>
      <w:marLeft w:val="0"/>
      <w:marRight w:val="0"/>
      <w:marTop w:val="0"/>
      <w:marBottom w:val="0"/>
      <w:divBdr>
        <w:top w:val="none" w:sz="0" w:space="0" w:color="auto"/>
        <w:left w:val="none" w:sz="0" w:space="0" w:color="auto"/>
        <w:bottom w:val="none" w:sz="0" w:space="0" w:color="auto"/>
        <w:right w:val="none" w:sz="0" w:space="0" w:color="auto"/>
      </w:divBdr>
      <w:divsChild>
        <w:div w:id="1691637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B19F-AEF3-477F-8D60-4319B5BB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Dekerle</dc:creator>
  <cp:keywords/>
  <dc:description/>
  <cp:lastModifiedBy>PHARIENGAM-LAFOSSE Germaine</cp:lastModifiedBy>
  <cp:revision>7</cp:revision>
  <cp:lastPrinted>2020-12-23T14:17:00Z</cp:lastPrinted>
  <dcterms:created xsi:type="dcterms:W3CDTF">2020-12-23T13:34:00Z</dcterms:created>
  <dcterms:modified xsi:type="dcterms:W3CDTF">2020-12-23T14:17:00Z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2020-08-24T16:03:49Z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7bd44cc5-738f-461d-a8c0-00004815a31a</vt:lpwstr>
  </property>
  <property fmtid="{D5CDD505-2E9C-101B-9397-08002B2CF9AE}" pid="8" name="MSIP_Label_1387ec98-8aff-418c-9455-dc857e1ea7dc_ContentBits">
    <vt:lpwstr>2</vt:lpwstr>
  </property>
</Properties>
</file>