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4BF68" w14:textId="77777777" w:rsidR="00C05A3F" w:rsidRDefault="00C05A3F" w:rsidP="004355C4">
      <w:pPr>
        <w:pStyle w:val="Corpsdetexte"/>
        <w:jc w:val="right"/>
      </w:pPr>
    </w:p>
    <w:p w14:paraId="7D8FD730" w14:textId="77777777" w:rsidR="00C05A3F" w:rsidRDefault="00C05A3F" w:rsidP="00C05A3F">
      <w:pPr>
        <w:pStyle w:val="Corpsdetexte"/>
      </w:pPr>
    </w:p>
    <w:p w14:paraId="123F478C" w14:textId="77777777" w:rsidR="00C05A3F" w:rsidRDefault="00C05A3F" w:rsidP="00C05A3F">
      <w:pPr>
        <w:pStyle w:val="Corpsdetexte"/>
      </w:pPr>
    </w:p>
    <w:p w14:paraId="20A88A1F" w14:textId="77777777" w:rsidR="00C05A3F" w:rsidRDefault="00C05A3F" w:rsidP="00C05A3F">
      <w:pPr>
        <w:pStyle w:val="Corpsdetexte"/>
      </w:pPr>
    </w:p>
    <w:p w14:paraId="7CC78CF1" w14:textId="77777777" w:rsidR="00C05A3F" w:rsidRDefault="00C05A3F" w:rsidP="00C05A3F">
      <w:pPr>
        <w:pStyle w:val="Corpsdetexte"/>
      </w:pPr>
    </w:p>
    <w:p w14:paraId="0E76F6E9" w14:textId="77777777" w:rsidR="00C05A3F" w:rsidRPr="00D035C0" w:rsidRDefault="00D035C0" w:rsidP="00D035C0">
      <w:pPr>
        <w:pStyle w:val="Sous-titre"/>
        <w:jc w:val="center"/>
        <w:rPr>
          <w:b w:val="0"/>
          <w:bCs/>
          <w:iCs/>
          <w:spacing w:val="5"/>
          <w:kern w:val="28"/>
          <w:sz w:val="56"/>
          <w:szCs w:val="56"/>
        </w:rPr>
      </w:pPr>
      <w:r>
        <w:rPr>
          <w:rStyle w:val="Titredulivre"/>
          <w:b w:val="0"/>
          <w:kern w:val="28"/>
          <w:szCs w:val="56"/>
        </w:rPr>
        <w:t xml:space="preserve">L’accès aux droits et aux </w:t>
      </w:r>
      <w:r w:rsidRPr="00D035C0">
        <w:rPr>
          <w:rStyle w:val="Titredulivre"/>
          <w:b w:val="0"/>
          <w:kern w:val="28"/>
          <w:szCs w:val="56"/>
        </w:rPr>
        <w:t>soins</w:t>
      </w:r>
      <w:r>
        <w:rPr>
          <w:rStyle w:val="Titredulivre"/>
          <w:b w:val="0"/>
          <w:kern w:val="28"/>
          <w:szCs w:val="56"/>
        </w:rPr>
        <w:t xml:space="preserve"> </w:t>
      </w:r>
      <w:r w:rsidRPr="00D035C0">
        <w:rPr>
          <w:rStyle w:val="Titredulivre"/>
          <w:b w:val="0"/>
          <w:kern w:val="28"/>
          <w:szCs w:val="56"/>
        </w:rPr>
        <w:t>des personnes en situation de handicap et des per</w:t>
      </w:r>
      <w:r>
        <w:rPr>
          <w:rStyle w:val="Titredulivre"/>
          <w:b w:val="0"/>
          <w:kern w:val="28"/>
          <w:szCs w:val="56"/>
        </w:rPr>
        <w:t xml:space="preserve">sonnes en situation </w:t>
      </w:r>
      <w:r w:rsidRPr="00D035C0">
        <w:rPr>
          <w:rStyle w:val="Titredulivre"/>
          <w:b w:val="0"/>
          <w:kern w:val="28"/>
          <w:szCs w:val="56"/>
        </w:rPr>
        <w:t>de précarité</w:t>
      </w:r>
    </w:p>
    <w:p w14:paraId="04EAF7C7" w14:textId="77777777" w:rsidR="00D035C0" w:rsidRDefault="00D035C0" w:rsidP="00D035C0">
      <w:pPr>
        <w:pStyle w:val="Sous-Titre2"/>
        <w:jc w:val="left"/>
      </w:pPr>
    </w:p>
    <w:p w14:paraId="45304A6F" w14:textId="77777777" w:rsidR="00E536FA" w:rsidRDefault="00E536FA" w:rsidP="00E536FA">
      <w:pPr>
        <w:pStyle w:val="Corpsdetexte"/>
      </w:pPr>
    </w:p>
    <w:p w14:paraId="68A4668E" w14:textId="77777777" w:rsidR="00974C89" w:rsidRDefault="00974C89" w:rsidP="00E536FA">
      <w:pPr>
        <w:pStyle w:val="Corpsdetexte"/>
      </w:pPr>
    </w:p>
    <w:p w14:paraId="05FF3473" w14:textId="77777777" w:rsidR="00E536FA" w:rsidRDefault="00E536FA" w:rsidP="00E536FA">
      <w:pPr>
        <w:pStyle w:val="Corpsdetexte"/>
      </w:pPr>
    </w:p>
    <w:p w14:paraId="2A8BD19B" w14:textId="77777777" w:rsidR="00E536FA" w:rsidRDefault="00E536FA" w:rsidP="00E536FA">
      <w:pPr>
        <w:pStyle w:val="Corpsdetexte"/>
      </w:pPr>
    </w:p>
    <w:tbl>
      <w:tblPr>
        <w:tblW w:w="0" w:type="auto"/>
        <w:tblLook w:val="04A0" w:firstRow="1" w:lastRow="0" w:firstColumn="1" w:lastColumn="0" w:noHBand="0" w:noVBand="1"/>
      </w:tblPr>
      <w:tblGrid>
        <w:gridCol w:w="4747"/>
        <w:gridCol w:w="4748"/>
      </w:tblGrid>
      <w:tr w:rsidR="00C127E6" w14:paraId="13C0B46F" w14:textId="77777777" w:rsidTr="00974C89">
        <w:tc>
          <w:tcPr>
            <w:tcW w:w="4747" w:type="dxa"/>
          </w:tcPr>
          <w:p w14:paraId="50F4F921" w14:textId="77777777" w:rsidR="000E272C" w:rsidRDefault="000E272C" w:rsidP="000E272C">
            <w:pPr>
              <w:pStyle w:val="Sous-Titre2"/>
              <w:jc w:val="center"/>
              <w:rPr>
                <w:rFonts w:asciiTheme="minorHAnsi" w:hAnsiTheme="minorHAnsi"/>
                <w:b/>
              </w:rPr>
            </w:pPr>
            <w:r w:rsidRPr="006E53C5">
              <w:rPr>
                <w:rFonts w:asciiTheme="minorHAnsi" w:hAnsiTheme="minorHAnsi"/>
                <w:b/>
              </w:rPr>
              <w:t>Philippe Denormandie</w:t>
            </w:r>
          </w:p>
          <w:p w14:paraId="61064E50" w14:textId="77777777" w:rsidR="000E272C" w:rsidRPr="00375629" w:rsidRDefault="000E272C" w:rsidP="000E272C">
            <w:pPr>
              <w:pStyle w:val="Sous-Titre2"/>
              <w:jc w:val="center"/>
              <w:rPr>
                <w:rFonts w:asciiTheme="minorHAnsi" w:hAnsiTheme="minorHAnsi"/>
                <w:sz w:val="24"/>
                <w:szCs w:val="24"/>
              </w:rPr>
            </w:pPr>
            <w:r w:rsidRPr="00375629">
              <w:rPr>
                <w:rFonts w:asciiTheme="minorHAnsi" w:hAnsiTheme="minorHAnsi"/>
                <w:sz w:val="24"/>
                <w:szCs w:val="24"/>
              </w:rPr>
              <w:t xml:space="preserve">Membre du conseil d’administration </w:t>
            </w:r>
          </w:p>
          <w:p w14:paraId="49F73F69" w14:textId="77777777" w:rsidR="000E272C" w:rsidRPr="00375629" w:rsidRDefault="000E272C" w:rsidP="000E272C">
            <w:pPr>
              <w:pStyle w:val="Sous-Titre2"/>
              <w:jc w:val="center"/>
              <w:rPr>
                <w:rFonts w:asciiTheme="minorHAnsi" w:hAnsiTheme="minorHAnsi"/>
                <w:sz w:val="24"/>
                <w:szCs w:val="24"/>
              </w:rPr>
            </w:pPr>
            <w:r w:rsidRPr="00375629">
              <w:rPr>
                <w:rFonts w:asciiTheme="minorHAnsi" w:hAnsiTheme="minorHAnsi"/>
                <w:sz w:val="24"/>
                <w:szCs w:val="24"/>
              </w:rPr>
              <w:t>de la CNSA</w:t>
            </w:r>
          </w:p>
          <w:p w14:paraId="2D486BA6" w14:textId="77777777" w:rsidR="00C127E6" w:rsidRPr="00C127E6" w:rsidRDefault="00C127E6" w:rsidP="006E53C5">
            <w:pPr>
              <w:pStyle w:val="Sous-Titre2"/>
              <w:jc w:val="center"/>
            </w:pPr>
          </w:p>
        </w:tc>
        <w:tc>
          <w:tcPr>
            <w:tcW w:w="4748" w:type="dxa"/>
          </w:tcPr>
          <w:p w14:paraId="4E56843D" w14:textId="77777777" w:rsidR="000E272C" w:rsidRPr="006E53C5" w:rsidRDefault="000E272C" w:rsidP="000E272C">
            <w:pPr>
              <w:pStyle w:val="Sous-Titre2"/>
              <w:jc w:val="center"/>
              <w:rPr>
                <w:rFonts w:asciiTheme="minorHAnsi" w:hAnsiTheme="minorHAnsi"/>
                <w:b/>
              </w:rPr>
            </w:pPr>
            <w:r w:rsidRPr="006E53C5">
              <w:rPr>
                <w:rFonts w:asciiTheme="minorHAnsi" w:hAnsiTheme="minorHAnsi"/>
                <w:b/>
              </w:rPr>
              <w:t>Marianne Cornu-Pauchet</w:t>
            </w:r>
          </w:p>
          <w:p w14:paraId="681BF631" w14:textId="77777777" w:rsidR="00C127E6" w:rsidRPr="00375629" w:rsidRDefault="000E272C" w:rsidP="000E272C">
            <w:pPr>
              <w:pStyle w:val="Sous-Titre2"/>
              <w:jc w:val="center"/>
              <w:rPr>
                <w:sz w:val="24"/>
                <w:szCs w:val="24"/>
              </w:rPr>
            </w:pPr>
            <w:r w:rsidRPr="00375629">
              <w:rPr>
                <w:rFonts w:asciiTheme="minorHAnsi" w:hAnsiTheme="minorHAnsi"/>
                <w:sz w:val="24"/>
                <w:szCs w:val="24"/>
              </w:rPr>
              <w:t>Directrice du Fonds CMU-C</w:t>
            </w:r>
          </w:p>
        </w:tc>
      </w:tr>
    </w:tbl>
    <w:p w14:paraId="62D6B8C0" w14:textId="77777777" w:rsidR="00D035C0" w:rsidRDefault="00D035C0" w:rsidP="00D035C0">
      <w:pPr>
        <w:pStyle w:val="Sous-Titre2"/>
        <w:jc w:val="left"/>
      </w:pPr>
    </w:p>
    <w:p w14:paraId="627A80F4" w14:textId="77777777" w:rsidR="00974C89" w:rsidRDefault="00974C89" w:rsidP="00974C89">
      <w:pPr>
        <w:pStyle w:val="Sous-Titre2"/>
      </w:pPr>
    </w:p>
    <w:p w14:paraId="10B1FD5D" w14:textId="77777777" w:rsidR="00974C89" w:rsidRDefault="00974C89" w:rsidP="00974C89">
      <w:pPr>
        <w:pStyle w:val="Sous-Titre2"/>
        <w:jc w:val="left"/>
      </w:pPr>
    </w:p>
    <w:p w14:paraId="1751A1C5" w14:textId="77777777" w:rsidR="00974C89" w:rsidRDefault="00974C89" w:rsidP="00974C89">
      <w:pPr>
        <w:pStyle w:val="Sous-Titre2"/>
      </w:pPr>
    </w:p>
    <w:p w14:paraId="31B7B2E5" w14:textId="77777777" w:rsidR="00974C89" w:rsidRDefault="00974C89" w:rsidP="00974C89">
      <w:pPr>
        <w:pStyle w:val="Sous-Titre2"/>
      </w:pPr>
    </w:p>
    <w:p w14:paraId="6F56DB19" w14:textId="77777777" w:rsidR="00974C89" w:rsidRDefault="00974C89" w:rsidP="00974C89">
      <w:pPr>
        <w:pStyle w:val="Sous-Titre2"/>
      </w:pPr>
    </w:p>
    <w:p w14:paraId="72203B1A" w14:textId="77777777" w:rsidR="006A7A86" w:rsidRDefault="00974C89" w:rsidP="00974C89">
      <w:pPr>
        <w:pStyle w:val="Sous-Titre2"/>
      </w:pPr>
      <w:r>
        <w:t>Juillet 2018</w:t>
      </w:r>
    </w:p>
    <w:p w14:paraId="5988395F" w14:textId="77777777" w:rsidR="00FF595E" w:rsidRDefault="00FF595E" w:rsidP="006A7A86">
      <w:pPr>
        <w:pStyle w:val="Corpsdetexte"/>
      </w:pPr>
    </w:p>
    <w:p w14:paraId="5A0DE520" w14:textId="77777777" w:rsidR="006A7A86" w:rsidRDefault="006A7A86" w:rsidP="006A7A86">
      <w:pPr>
        <w:pStyle w:val="Corpsdetexte"/>
        <w:sectPr w:rsidR="006A7A86" w:rsidSect="00FF595E">
          <w:headerReference w:type="default" r:id="rId9"/>
          <w:footerReference w:type="default" r:id="rId10"/>
          <w:type w:val="continuous"/>
          <w:pgSz w:w="11907" w:h="16840" w:code="9"/>
          <w:pgMar w:top="2835" w:right="1134" w:bottom="1134" w:left="1134" w:header="567" w:footer="567" w:gutter="284"/>
          <w:pgNumType w:start="1"/>
          <w:cols w:space="708"/>
          <w:titlePg/>
          <w:docGrid w:linePitch="360"/>
        </w:sectPr>
      </w:pPr>
    </w:p>
    <w:p w14:paraId="621BE0E1" w14:textId="77777777" w:rsidR="006A7A86" w:rsidRPr="006A7A86" w:rsidRDefault="006A7A86" w:rsidP="006A7A86">
      <w:pPr>
        <w:pStyle w:val="Corpsdetexte"/>
      </w:pPr>
    </w:p>
    <w:p w14:paraId="628EF2ED" w14:textId="77777777" w:rsidR="00AF3B59" w:rsidRDefault="00AF3B59" w:rsidP="006A7A86">
      <w:pPr>
        <w:pStyle w:val="En-ttedetabledesmatires"/>
        <w:pageBreakBefore/>
      </w:pPr>
      <w:r w:rsidRPr="00EE0915">
        <w:lastRenderedPageBreak/>
        <w:t>Sommaire</w:t>
      </w:r>
    </w:p>
    <w:bookmarkStart w:id="0" w:name="_GoBack"/>
    <w:bookmarkEnd w:id="0"/>
    <w:p w14:paraId="40736F7F" w14:textId="77777777" w:rsidR="00D96336" w:rsidRDefault="004B3A87">
      <w:pPr>
        <w:pStyle w:val="TM1"/>
        <w:rPr>
          <w:rFonts w:asciiTheme="minorHAnsi" w:eastAsiaTheme="minorEastAsia" w:hAnsiTheme="minorHAnsi" w:cstheme="minorBidi"/>
          <w:b w:val="0"/>
          <w:bCs w:val="0"/>
          <w:iCs w:val="0"/>
          <w:caps w:val="0"/>
          <w:sz w:val="22"/>
          <w:szCs w:val="22"/>
        </w:rPr>
      </w:pPr>
      <w:r>
        <w:rPr>
          <w:u w:color="96C31E"/>
        </w:rPr>
        <w:fldChar w:fldCharType="begin"/>
      </w:r>
      <w:r>
        <w:rPr>
          <w:u w:color="96C31E"/>
        </w:rPr>
        <w:instrText xml:space="preserve"> TOC \o "1-4" \f \h \z </w:instrText>
      </w:r>
      <w:r>
        <w:rPr>
          <w:u w:color="96C31E"/>
        </w:rPr>
        <w:fldChar w:fldCharType="separate"/>
      </w:r>
      <w:hyperlink w:anchor="_Toc523327663" w:history="1">
        <w:r w:rsidR="00D96336" w:rsidRPr="0050761E">
          <w:rPr>
            <w:rStyle w:val="Lienhypertexte"/>
          </w:rPr>
          <w:t>Lettre de mission</w:t>
        </w:r>
        <w:r w:rsidR="00D96336">
          <w:rPr>
            <w:webHidden/>
          </w:rPr>
          <w:tab/>
        </w:r>
        <w:r w:rsidR="00D96336">
          <w:rPr>
            <w:webHidden/>
          </w:rPr>
          <w:fldChar w:fldCharType="begin"/>
        </w:r>
        <w:r w:rsidR="00D96336">
          <w:rPr>
            <w:webHidden/>
          </w:rPr>
          <w:instrText xml:space="preserve"> PAGEREF _Toc523327663 \h </w:instrText>
        </w:r>
        <w:r w:rsidR="00D96336">
          <w:rPr>
            <w:webHidden/>
          </w:rPr>
        </w:r>
        <w:r w:rsidR="00D96336">
          <w:rPr>
            <w:webHidden/>
          </w:rPr>
          <w:fldChar w:fldCharType="separate"/>
        </w:r>
        <w:r w:rsidR="00D96336">
          <w:rPr>
            <w:webHidden/>
          </w:rPr>
          <w:t>4</w:t>
        </w:r>
        <w:r w:rsidR="00D96336">
          <w:rPr>
            <w:webHidden/>
          </w:rPr>
          <w:fldChar w:fldCharType="end"/>
        </w:r>
      </w:hyperlink>
    </w:p>
    <w:p w14:paraId="27892F6F" w14:textId="77777777" w:rsidR="00D96336" w:rsidRDefault="00D96336">
      <w:pPr>
        <w:pStyle w:val="TM1"/>
        <w:rPr>
          <w:rFonts w:asciiTheme="minorHAnsi" w:eastAsiaTheme="minorEastAsia" w:hAnsiTheme="minorHAnsi" w:cstheme="minorBidi"/>
          <w:b w:val="0"/>
          <w:bCs w:val="0"/>
          <w:iCs w:val="0"/>
          <w:caps w:val="0"/>
          <w:sz w:val="22"/>
          <w:szCs w:val="22"/>
        </w:rPr>
      </w:pPr>
      <w:hyperlink w:anchor="_Toc523327664" w:history="1">
        <w:r w:rsidRPr="0050761E">
          <w:rPr>
            <w:rStyle w:val="Lienhypertexte"/>
          </w:rPr>
          <w:t>Méthode de travail, remerciements</w:t>
        </w:r>
        <w:r>
          <w:rPr>
            <w:webHidden/>
          </w:rPr>
          <w:tab/>
        </w:r>
        <w:r>
          <w:rPr>
            <w:webHidden/>
          </w:rPr>
          <w:fldChar w:fldCharType="begin"/>
        </w:r>
        <w:r>
          <w:rPr>
            <w:webHidden/>
          </w:rPr>
          <w:instrText xml:space="preserve"> PAGEREF _Toc523327664 \h </w:instrText>
        </w:r>
        <w:r>
          <w:rPr>
            <w:webHidden/>
          </w:rPr>
        </w:r>
        <w:r>
          <w:rPr>
            <w:webHidden/>
          </w:rPr>
          <w:fldChar w:fldCharType="separate"/>
        </w:r>
        <w:r>
          <w:rPr>
            <w:webHidden/>
          </w:rPr>
          <w:t>6</w:t>
        </w:r>
        <w:r>
          <w:rPr>
            <w:webHidden/>
          </w:rPr>
          <w:fldChar w:fldCharType="end"/>
        </w:r>
      </w:hyperlink>
    </w:p>
    <w:p w14:paraId="54ED7610" w14:textId="77777777" w:rsidR="00D96336" w:rsidRDefault="00D96336">
      <w:pPr>
        <w:pStyle w:val="TM1"/>
        <w:rPr>
          <w:rFonts w:asciiTheme="minorHAnsi" w:eastAsiaTheme="minorEastAsia" w:hAnsiTheme="minorHAnsi" w:cstheme="minorBidi"/>
          <w:b w:val="0"/>
          <w:bCs w:val="0"/>
          <w:iCs w:val="0"/>
          <w:caps w:val="0"/>
          <w:sz w:val="22"/>
          <w:szCs w:val="22"/>
        </w:rPr>
      </w:pPr>
      <w:hyperlink w:anchor="_Toc523327665" w:history="1">
        <w:r w:rsidRPr="0050761E">
          <w:rPr>
            <w:rStyle w:val="Lienhypertexte"/>
          </w:rPr>
          <w:t>Nos principales recommandations</w:t>
        </w:r>
        <w:r>
          <w:rPr>
            <w:webHidden/>
          </w:rPr>
          <w:tab/>
        </w:r>
        <w:r>
          <w:rPr>
            <w:webHidden/>
          </w:rPr>
          <w:fldChar w:fldCharType="begin"/>
        </w:r>
        <w:r>
          <w:rPr>
            <w:webHidden/>
          </w:rPr>
          <w:instrText xml:space="preserve"> PAGEREF _Toc523327665 \h </w:instrText>
        </w:r>
        <w:r>
          <w:rPr>
            <w:webHidden/>
          </w:rPr>
        </w:r>
        <w:r>
          <w:rPr>
            <w:webHidden/>
          </w:rPr>
          <w:fldChar w:fldCharType="separate"/>
        </w:r>
        <w:r>
          <w:rPr>
            <w:webHidden/>
          </w:rPr>
          <w:t>7</w:t>
        </w:r>
        <w:r>
          <w:rPr>
            <w:webHidden/>
          </w:rPr>
          <w:fldChar w:fldCharType="end"/>
        </w:r>
      </w:hyperlink>
    </w:p>
    <w:p w14:paraId="34D71B41" w14:textId="77777777" w:rsidR="00D96336" w:rsidRDefault="00D96336">
      <w:pPr>
        <w:pStyle w:val="TM1"/>
        <w:rPr>
          <w:rFonts w:asciiTheme="minorHAnsi" w:eastAsiaTheme="minorEastAsia" w:hAnsiTheme="minorHAnsi" w:cstheme="minorBidi"/>
          <w:b w:val="0"/>
          <w:bCs w:val="0"/>
          <w:iCs w:val="0"/>
          <w:caps w:val="0"/>
          <w:sz w:val="22"/>
          <w:szCs w:val="22"/>
        </w:rPr>
      </w:pPr>
      <w:hyperlink w:anchor="_Toc523327666" w:history="1">
        <w:r w:rsidRPr="0050761E">
          <w:rPr>
            <w:rStyle w:val="Lienhypertexte"/>
          </w:rPr>
          <w:t>PARTIE I. Cadrage et méthode</w:t>
        </w:r>
        <w:r>
          <w:rPr>
            <w:webHidden/>
          </w:rPr>
          <w:tab/>
        </w:r>
        <w:r>
          <w:rPr>
            <w:webHidden/>
          </w:rPr>
          <w:fldChar w:fldCharType="begin"/>
        </w:r>
        <w:r>
          <w:rPr>
            <w:webHidden/>
          </w:rPr>
          <w:instrText xml:space="preserve"> PAGEREF _Toc523327666 \h </w:instrText>
        </w:r>
        <w:r>
          <w:rPr>
            <w:webHidden/>
          </w:rPr>
        </w:r>
        <w:r>
          <w:rPr>
            <w:webHidden/>
          </w:rPr>
          <w:fldChar w:fldCharType="separate"/>
        </w:r>
        <w:r>
          <w:rPr>
            <w:webHidden/>
          </w:rPr>
          <w:t>8</w:t>
        </w:r>
        <w:r>
          <w:rPr>
            <w:webHidden/>
          </w:rPr>
          <w:fldChar w:fldCharType="end"/>
        </w:r>
      </w:hyperlink>
    </w:p>
    <w:p w14:paraId="3B3D657B" w14:textId="77777777" w:rsidR="00D96336" w:rsidRDefault="00D96336">
      <w:pPr>
        <w:pStyle w:val="TM2"/>
        <w:rPr>
          <w:rFonts w:asciiTheme="minorHAnsi" w:eastAsiaTheme="minorEastAsia" w:hAnsiTheme="minorHAnsi" w:cstheme="minorBidi"/>
          <w:b w:val="0"/>
          <w:bCs w:val="0"/>
          <w:szCs w:val="22"/>
        </w:rPr>
      </w:pPr>
      <w:hyperlink w:anchor="_Toc523327667" w:history="1">
        <w:r w:rsidRPr="0050761E">
          <w:rPr>
            <w:rStyle w:val="Lienhypertexte"/>
          </w:rPr>
          <w:t>1. La commande</w:t>
        </w:r>
        <w:r>
          <w:rPr>
            <w:webHidden/>
          </w:rPr>
          <w:tab/>
        </w:r>
        <w:r>
          <w:rPr>
            <w:webHidden/>
          </w:rPr>
          <w:fldChar w:fldCharType="begin"/>
        </w:r>
        <w:r>
          <w:rPr>
            <w:webHidden/>
          </w:rPr>
          <w:instrText xml:space="preserve"> PAGEREF _Toc523327667 \h </w:instrText>
        </w:r>
        <w:r>
          <w:rPr>
            <w:webHidden/>
          </w:rPr>
        </w:r>
        <w:r>
          <w:rPr>
            <w:webHidden/>
          </w:rPr>
          <w:fldChar w:fldCharType="separate"/>
        </w:r>
        <w:r>
          <w:rPr>
            <w:webHidden/>
          </w:rPr>
          <w:t>9</w:t>
        </w:r>
        <w:r>
          <w:rPr>
            <w:webHidden/>
          </w:rPr>
          <w:fldChar w:fldCharType="end"/>
        </w:r>
      </w:hyperlink>
    </w:p>
    <w:p w14:paraId="3D6AE37F" w14:textId="77777777" w:rsidR="00D96336" w:rsidRDefault="00D96336">
      <w:pPr>
        <w:pStyle w:val="TM2"/>
        <w:rPr>
          <w:rFonts w:asciiTheme="minorHAnsi" w:eastAsiaTheme="minorEastAsia" w:hAnsiTheme="minorHAnsi" w:cstheme="minorBidi"/>
          <w:b w:val="0"/>
          <w:bCs w:val="0"/>
          <w:szCs w:val="22"/>
        </w:rPr>
      </w:pPr>
      <w:hyperlink w:anchor="_Toc523327668" w:history="1">
        <w:r w:rsidRPr="0050761E">
          <w:rPr>
            <w:rStyle w:val="Lienhypertexte"/>
          </w:rPr>
          <w:t>2. Le constat : les obstacles à l’accès aux droits et à la santé : une réalité confirmée mais des inconnues</w:t>
        </w:r>
        <w:r>
          <w:rPr>
            <w:webHidden/>
          </w:rPr>
          <w:tab/>
        </w:r>
        <w:r>
          <w:rPr>
            <w:webHidden/>
          </w:rPr>
          <w:fldChar w:fldCharType="begin"/>
        </w:r>
        <w:r>
          <w:rPr>
            <w:webHidden/>
          </w:rPr>
          <w:instrText xml:space="preserve"> PAGEREF _Toc523327668 \h </w:instrText>
        </w:r>
        <w:r>
          <w:rPr>
            <w:webHidden/>
          </w:rPr>
        </w:r>
        <w:r>
          <w:rPr>
            <w:webHidden/>
          </w:rPr>
          <w:fldChar w:fldCharType="separate"/>
        </w:r>
        <w:r>
          <w:rPr>
            <w:webHidden/>
          </w:rPr>
          <w:t>10</w:t>
        </w:r>
        <w:r>
          <w:rPr>
            <w:webHidden/>
          </w:rPr>
          <w:fldChar w:fldCharType="end"/>
        </w:r>
      </w:hyperlink>
    </w:p>
    <w:p w14:paraId="48A64160" w14:textId="77777777" w:rsidR="00D96336" w:rsidRDefault="00D96336">
      <w:pPr>
        <w:pStyle w:val="TM2"/>
        <w:rPr>
          <w:rFonts w:asciiTheme="minorHAnsi" w:eastAsiaTheme="minorEastAsia" w:hAnsiTheme="minorHAnsi" w:cstheme="minorBidi"/>
          <w:b w:val="0"/>
          <w:bCs w:val="0"/>
          <w:szCs w:val="22"/>
        </w:rPr>
      </w:pPr>
      <w:hyperlink w:anchor="_Toc523327669" w:history="1">
        <w:r w:rsidRPr="0050761E">
          <w:rPr>
            <w:rStyle w:val="Lienhypertexte"/>
          </w:rPr>
          <w:t>3. Les principes</w:t>
        </w:r>
        <w:r>
          <w:rPr>
            <w:webHidden/>
          </w:rPr>
          <w:tab/>
        </w:r>
        <w:r>
          <w:rPr>
            <w:webHidden/>
          </w:rPr>
          <w:fldChar w:fldCharType="begin"/>
        </w:r>
        <w:r>
          <w:rPr>
            <w:webHidden/>
          </w:rPr>
          <w:instrText xml:space="preserve"> PAGEREF _Toc523327669 \h </w:instrText>
        </w:r>
        <w:r>
          <w:rPr>
            <w:webHidden/>
          </w:rPr>
        </w:r>
        <w:r>
          <w:rPr>
            <w:webHidden/>
          </w:rPr>
          <w:fldChar w:fldCharType="separate"/>
        </w:r>
        <w:r>
          <w:rPr>
            <w:webHidden/>
          </w:rPr>
          <w:t>12</w:t>
        </w:r>
        <w:r>
          <w:rPr>
            <w:webHidden/>
          </w:rPr>
          <w:fldChar w:fldCharType="end"/>
        </w:r>
      </w:hyperlink>
    </w:p>
    <w:p w14:paraId="2D26C93B" w14:textId="77777777" w:rsidR="00D96336" w:rsidRDefault="00D96336">
      <w:pPr>
        <w:pStyle w:val="TM3"/>
        <w:rPr>
          <w:rFonts w:asciiTheme="minorHAnsi" w:eastAsiaTheme="minorEastAsia" w:hAnsiTheme="minorHAnsi" w:cstheme="minorBidi"/>
          <w:noProof/>
          <w:szCs w:val="22"/>
        </w:rPr>
      </w:pPr>
      <w:hyperlink w:anchor="_Toc523327670" w:history="1">
        <w:r w:rsidRPr="0050761E">
          <w:rPr>
            <w:rStyle w:val="Lienhypertexte"/>
            <w:noProof/>
          </w:rPr>
          <w:t>3.1. Redonner une place centrale à l’individu</w:t>
        </w:r>
        <w:r>
          <w:rPr>
            <w:noProof/>
            <w:webHidden/>
          </w:rPr>
          <w:tab/>
        </w:r>
        <w:r>
          <w:rPr>
            <w:noProof/>
            <w:webHidden/>
          </w:rPr>
          <w:fldChar w:fldCharType="begin"/>
        </w:r>
        <w:r>
          <w:rPr>
            <w:noProof/>
            <w:webHidden/>
          </w:rPr>
          <w:instrText xml:space="preserve"> PAGEREF _Toc523327670 \h </w:instrText>
        </w:r>
        <w:r>
          <w:rPr>
            <w:noProof/>
            <w:webHidden/>
          </w:rPr>
        </w:r>
        <w:r>
          <w:rPr>
            <w:noProof/>
            <w:webHidden/>
          </w:rPr>
          <w:fldChar w:fldCharType="separate"/>
        </w:r>
        <w:r>
          <w:rPr>
            <w:noProof/>
            <w:webHidden/>
          </w:rPr>
          <w:t>12</w:t>
        </w:r>
        <w:r>
          <w:rPr>
            <w:noProof/>
            <w:webHidden/>
          </w:rPr>
          <w:fldChar w:fldCharType="end"/>
        </w:r>
      </w:hyperlink>
    </w:p>
    <w:p w14:paraId="4402AF9B" w14:textId="77777777" w:rsidR="00D96336" w:rsidRDefault="00D96336">
      <w:pPr>
        <w:pStyle w:val="TM3"/>
        <w:rPr>
          <w:rFonts w:asciiTheme="minorHAnsi" w:eastAsiaTheme="minorEastAsia" w:hAnsiTheme="minorHAnsi" w:cstheme="minorBidi"/>
          <w:noProof/>
          <w:szCs w:val="22"/>
        </w:rPr>
      </w:pPr>
      <w:hyperlink w:anchor="_Toc523327671" w:history="1">
        <w:r w:rsidRPr="0050761E">
          <w:rPr>
            <w:rStyle w:val="Lienhypertexte"/>
            <w:noProof/>
          </w:rPr>
          <w:t>3.2. Promouvoir l’« aller-vers »</w:t>
        </w:r>
        <w:r>
          <w:rPr>
            <w:noProof/>
            <w:webHidden/>
          </w:rPr>
          <w:tab/>
        </w:r>
        <w:r>
          <w:rPr>
            <w:noProof/>
            <w:webHidden/>
          </w:rPr>
          <w:fldChar w:fldCharType="begin"/>
        </w:r>
        <w:r>
          <w:rPr>
            <w:noProof/>
            <w:webHidden/>
          </w:rPr>
          <w:instrText xml:space="preserve"> PAGEREF _Toc523327671 \h </w:instrText>
        </w:r>
        <w:r>
          <w:rPr>
            <w:noProof/>
            <w:webHidden/>
          </w:rPr>
        </w:r>
        <w:r>
          <w:rPr>
            <w:noProof/>
            <w:webHidden/>
          </w:rPr>
          <w:fldChar w:fldCharType="separate"/>
        </w:r>
        <w:r>
          <w:rPr>
            <w:noProof/>
            <w:webHidden/>
          </w:rPr>
          <w:t>12</w:t>
        </w:r>
        <w:r>
          <w:rPr>
            <w:noProof/>
            <w:webHidden/>
          </w:rPr>
          <w:fldChar w:fldCharType="end"/>
        </w:r>
      </w:hyperlink>
    </w:p>
    <w:p w14:paraId="3617989D" w14:textId="77777777" w:rsidR="00D96336" w:rsidRDefault="00D96336">
      <w:pPr>
        <w:pStyle w:val="TM3"/>
        <w:rPr>
          <w:rFonts w:asciiTheme="minorHAnsi" w:eastAsiaTheme="minorEastAsia" w:hAnsiTheme="minorHAnsi" w:cstheme="minorBidi"/>
          <w:noProof/>
          <w:szCs w:val="22"/>
        </w:rPr>
      </w:pPr>
      <w:hyperlink w:anchor="_Toc523327672" w:history="1">
        <w:r w:rsidRPr="0050761E">
          <w:rPr>
            <w:rStyle w:val="Lienhypertexte"/>
            <w:noProof/>
          </w:rPr>
          <w:t>3.3. Repenser la responsabilité et l’implication de l’ensemble des acteurs</w:t>
        </w:r>
        <w:r>
          <w:rPr>
            <w:noProof/>
            <w:webHidden/>
          </w:rPr>
          <w:tab/>
        </w:r>
        <w:r>
          <w:rPr>
            <w:noProof/>
            <w:webHidden/>
          </w:rPr>
          <w:fldChar w:fldCharType="begin"/>
        </w:r>
        <w:r>
          <w:rPr>
            <w:noProof/>
            <w:webHidden/>
          </w:rPr>
          <w:instrText xml:space="preserve"> PAGEREF _Toc523327672 \h </w:instrText>
        </w:r>
        <w:r>
          <w:rPr>
            <w:noProof/>
            <w:webHidden/>
          </w:rPr>
        </w:r>
        <w:r>
          <w:rPr>
            <w:noProof/>
            <w:webHidden/>
          </w:rPr>
          <w:fldChar w:fldCharType="separate"/>
        </w:r>
        <w:r>
          <w:rPr>
            <w:noProof/>
            <w:webHidden/>
          </w:rPr>
          <w:t>12</w:t>
        </w:r>
        <w:r>
          <w:rPr>
            <w:noProof/>
            <w:webHidden/>
          </w:rPr>
          <w:fldChar w:fldCharType="end"/>
        </w:r>
      </w:hyperlink>
    </w:p>
    <w:p w14:paraId="42468791" w14:textId="77777777" w:rsidR="00D96336" w:rsidRDefault="00D96336">
      <w:pPr>
        <w:pStyle w:val="TM3"/>
        <w:rPr>
          <w:rFonts w:asciiTheme="minorHAnsi" w:eastAsiaTheme="minorEastAsia" w:hAnsiTheme="minorHAnsi" w:cstheme="minorBidi"/>
          <w:noProof/>
          <w:szCs w:val="22"/>
        </w:rPr>
      </w:pPr>
      <w:hyperlink w:anchor="_Toc523327673" w:history="1">
        <w:r w:rsidRPr="0050761E">
          <w:rPr>
            <w:rStyle w:val="Lienhypertexte"/>
            <w:noProof/>
          </w:rPr>
          <w:t>3.4. Favoriser des propositions qui s’intègrent dans le droit commun tant pour la prévention que le soin</w:t>
        </w:r>
        <w:r>
          <w:rPr>
            <w:noProof/>
            <w:webHidden/>
          </w:rPr>
          <w:tab/>
        </w:r>
        <w:r>
          <w:rPr>
            <w:noProof/>
            <w:webHidden/>
          </w:rPr>
          <w:fldChar w:fldCharType="begin"/>
        </w:r>
        <w:r>
          <w:rPr>
            <w:noProof/>
            <w:webHidden/>
          </w:rPr>
          <w:instrText xml:space="preserve"> PAGEREF _Toc523327673 \h </w:instrText>
        </w:r>
        <w:r>
          <w:rPr>
            <w:noProof/>
            <w:webHidden/>
          </w:rPr>
        </w:r>
        <w:r>
          <w:rPr>
            <w:noProof/>
            <w:webHidden/>
          </w:rPr>
          <w:fldChar w:fldCharType="separate"/>
        </w:r>
        <w:r>
          <w:rPr>
            <w:noProof/>
            <w:webHidden/>
          </w:rPr>
          <w:t>13</w:t>
        </w:r>
        <w:r>
          <w:rPr>
            <w:noProof/>
            <w:webHidden/>
          </w:rPr>
          <w:fldChar w:fldCharType="end"/>
        </w:r>
      </w:hyperlink>
    </w:p>
    <w:p w14:paraId="26CB98EC" w14:textId="77777777" w:rsidR="00D96336" w:rsidRDefault="00D96336">
      <w:pPr>
        <w:pStyle w:val="TM1"/>
        <w:rPr>
          <w:rFonts w:asciiTheme="minorHAnsi" w:eastAsiaTheme="minorEastAsia" w:hAnsiTheme="minorHAnsi" w:cstheme="minorBidi"/>
          <w:b w:val="0"/>
          <w:bCs w:val="0"/>
          <w:iCs w:val="0"/>
          <w:caps w:val="0"/>
          <w:sz w:val="22"/>
          <w:szCs w:val="22"/>
        </w:rPr>
      </w:pPr>
      <w:hyperlink w:anchor="_Toc523327674" w:history="1">
        <w:r w:rsidRPr="0050761E">
          <w:rPr>
            <w:rStyle w:val="Lienhypertexte"/>
          </w:rPr>
          <w:t>PARTIE II. Les propositions</w:t>
        </w:r>
        <w:r>
          <w:rPr>
            <w:webHidden/>
          </w:rPr>
          <w:tab/>
        </w:r>
        <w:r>
          <w:rPr>
            <w:webHidden/>
          </w:rPr>
          <w:fldChar w:fldCharType="begin"/>
        </w:r>
        <w:r>
          <w:rPr>
            <w:webHidden/>
          </w:rPr>
          <w:instrText xml:space="preserve"> PAGEREF _Toc523327674 \h </w:instrText>
        </w:r>
        <w:r>
          <w:rPr>
            <w:webHidden/>
          </w:rPr>
        </w:r>
        <w:r>
          <w:rPr>
            <w:webHidden/>
          </w:rPr>
          <w:fldChar w:fldCharType="separate"/>
        </w:r>
        <w:r>
          <w:rPr>
            <w:webHidden/>
          </w:rPr>
          <w:t>14</w:t>
        </w:r>
        <w:r>
          <w:rPr>
            <w:webHidden/>
          </w:rPr>
          <w:fldChar w:fldCharType="end"/>
        </w:r>
      </w:hyperlink>
    </w:p>
    <w:p w14:paraId="6BB66801" w14:textId="77777777" w:rsidR="00D96336" w:rsidRDefault="00D96336">
      <w:pPr>
        <w:pStyle w:val="TM2"/>
        <w:rPr>
          <w:rFonts w:asciiTheme="minorHAnsi" w:eastAsiaTheme="minorEastAsia" w:hAnsiTheme="minorHAnsi" w:cstheme="minorBidi"/>
          <w:b w:val="0"/>
          <w:bCs w:val="0"/>
          <w:szCs w:val="22"/>
        </w:rPr>
      </w:pPr>
      <w:hyperlink w:anchor="_Toc523327675" w:history="1">
        <w:r w:rsidRPr="0050761E">
          <w:rPr>
            <w:rStyle w:val="Lienhypertexte"/>
          </w:rPr>
          <w:t>1. Lever les barrières financières d’accès à la santé</w:t>
        </w:r>
        <w:r>
          <w:rPr>
            <w:webHidden/>
          </w:rPr>
          <w:tab/>
        </w:r>
        <w:r>
          <w:rPr>
            <w:webHidden/>
          </w:rPr>
          <w:fldChar w:fldCharType="begin"/>
        </w:r>
        <w:r>
          <w:rPr>
            <w:webHidden/>
          </w:rPr>
          <w:instrText xml:space="preserve"> PAGEREF _Toc523327675 \h </w:instrText>
        </w:r>
        <w:r>
          <w:rPr>
            <w:webHidden/>
          </w:rPr>
        </w:r>
        <w:r>
          <w:rPr>
            <w:webHidden/>
          </w:rPr>
          <w:fldChar w:fldCharType="separate"/>
        </w:r>
        <w:r>
          <w:rPr>
            <w:webHidden/>
          </w:rPr>
          <w:t>15</w:t>
        </w:r>
        <w:r>
          <w:rPr>
            <w:webHidden/>
          </w:rPr>
          <w:fldChar w:fldCharType="end"/>
        </w:r>
      </w:hyperlink>
    </w:p>
    <w:p w14:paraId="4FC0D923" w14:textId="77777777" w:rsidR="00D96336" w:rsidRDefault="00D96336">
      <w:pPr>
        <w:pStyle w:val="TM3"/>
        <w:rPr>
          <w:rFonts w:asciiTheme="minorHAnsi" w:eastAsiaTheme="minorEastAsia" w:hAnsiTheme="minorHAnsi" w:cstheme="minorBidi"/>
          <w:noProof/>
          <w:szCs w:val="22"/>
        </w:rPr>
      </w:pPr>
      <w:hyperlink w:anchor="_Toc523327676" w:history="1">
        <w:r w:rsidRPr="0050761E">
          <w:rPr>
            <w:rStyle w:val="Lienhypertexte"/>
            <w:noProof/>
          </w:rPr>
          <w:t>1.1. Rendre effectif le droit à une couverture de santé</w:t>
        </w:r>
        <w:r>
          <w:rPr>
            <w:noProof/>
            <w:webHidden/>
          </w:rPr>
          <w:tab/>
        </w:r>
        <w:r>
          <w:rPr>
            <w:noProof/>
            <w:webHidden/>
          </w:rPr>
          <w:fldChar w:fldCharType="begin"/>
        </w:r>
        <w:r>
          <w:rPr>
            <w:noProof/>
            <w:webHidden/>
          </w:rPr>
          <w:instrText xml:space="preserve"> PAGEREF _Toc523327676 \h </w:instrText>
        </w:r>
        <w:r>
          <w:rPr>
            <w:noProof/>
            <w:webHidden/>
          </w:rPr>
        </w:r>
        <w:r>
          <w:rPr>
            <w:noProof/>
            <w:webHidden/>
          </w:rPr>
          <w:fldChar w:fldCharType="separate"/>
        </w:r>
        <w:r>
          <w:rPr>
            <w:noProof/>
            <w:webHidden/>
          </w:rPr>
          <w:t>15</w:t>
        </w:r>
        <w:r>
          <w:rPr>
            <w:noProof/>
            <w:webHidden/>
          </w:rPr>
          <w:fldChar w:fldCharType="end"/>
        </w:r>
      </w:hyperlink>
    </w:p>
    <w:p w14:paraId="3456E769" w14:textId="77777777" w:rsidR="00D96336" w:rsidRDefault="00D96336">
      <w:pPr>
        <w:pStyle w:val="TM4"/>
        <w:rPr>
          <w:rFonts w:asciiTheme="minorHAnsi" w:eastAsiaTheme="minorEastAsia" w:hAnsiTheme="minorHAnsi" w:cstheme="minorBidi"/>
          <w:i w:val="0"/>
          <w:color w:val="auto"/>
          <w:lang w:eastAsia="fr-FR"/>
        </w:rPr>
      </w:pPr>
      <w:hyperlink w:anchor="_Toc523327677" w:history="1">
        <w:r w:rsidRPr="0050761E">
          <w:rPr>
            <w:rStyle w:val="Lienhypertexte"/>
          </w:rPr>
          <w:t>1.1.1. Identifier les bénéficiaires potentiels</w:t>
        </w:r>
        <w:r>
          <w:rPr>
            <w:webHidden/>
          </w:rPr>
          <w:tab/>
        </w:r>
        <w:r>
          <w:rPr>
            <w:webHidden/>
          </w:rPr>
          <w:fldChar w:fldCharType="begin"/>
        </w:r>
        <w:r>
          <w:rPr>
            <w:webHidden/>
          </w:rPr>
          <w:instrText xml:space="preserve"> PAGEREF _Toc523327677 \h </w:instrText>
        </w:r>
        <w:r>
          <w:rPr>
            <w:webHidden/>
          </w:rPr>
        </w:r>
        <w:r>
          <w:rPr>
            <w:webHidden/>
          </w:rPr>
          <w:fldChar w:fldCharType="separate"/>
        </w:r>
        <w:r>
          <w:rPr>
            <w:webHidden/>
          </w:rPr>
          <w:t>15</w:t>
        </w:r>
        <w:r>
          <w:rPr>
            <w:webHidden/>
          </w:rPr>
          <w:fldChar w:fldCharType="end"/>
        </w:r>
      </w:hyperlink>
    </w:p>
    <w:p w14:paraId="04F87CDE" w14:textId="77777777" w:rsidR="00D96336" w:rsidRDefault="00D96336">
      <w:pPr>
        <w:pStyle w:val="TM4"/>
        <w:rPr>
          <w:rFonts w:asciiTheme="minorHAnsi" w:eastAsiaTheme="minorEastAsia" w:hAnsiTheme="minorHAnsi" w:cstheme="minorBidi"/>
          <w:i w:val="0"/>
          <w:color w:val="auto"/>
          <w:lang w:eastAsia="fr-FR"/>
        </w:rPr>
      </w:pPr>
      <w:hyperlink w:anchor="_Toc523327678" w:history="1">
        <w:r w:rsidRPr="0050761E">
          <w:rPr>
            <w:rStyle w:val="Lienhypertexte"/>
          </w:rPr>
          <w:t>1.1.2. Rendre automatique l’attribution des droits</w:t>
        </w:r>
        <w:r>
          <w:rPr>
            <w:webHidden/>
          </w:rPr>
          <w:tab/>
        </w:r>
        <w:r>
          <w:rPr>
            <w:webHidden/>
          </w:rPr>
          <w:fldChar w:fldCharType="begin"/>
        </w:r>
        <w:r>
          <w:rPr>
            <w:webHidden/>
          </w:rPr>
          <w:instrText xml:space="preserve"> PAGEREF _Toc523327678 \h </w:instrText>
        </w:r>
        <w:r>
          <w:rPr>
            <w:webHidden/>
          </w:rPr>
        </w:r>
        <w:r>
          <w:rPr>
            <w:webHidden/>
          </w:rPr>
          <w:fldChar w:fldCharType="separate"/>
        </w:r>
        <w:r>
          <w:rPr>
            <w:webHidden/>
          </w:rPr>
          <w:t>17</w:t>
        </w:r>
        <w:r>
          <w:rPr>
            <w:webHidden/>
          </w:rPr>
          <w:fldChar w:fldCharType="end"/>
        </w:r>
      </w:hyperlink>
    </w:p>
    <w:p w14:paraId="4BDAFC55" w14:textId="77777777" w:rsidR="00D96336" w:rsidRDefault="00D96336">
      <w:pPr>
        <w:pStyle w:val="TM4"/>
        <w:rPr>
          <w:rFonts w:asciiTheme="minorHAnsi" w:eastAsiaTheme="minorEastAsia" w:hAnsiTheme="minorHAnsi" w:cstheme="minorBidi"/>
          <w:i w:val="0"/>
          <w:color w:val="auto"/>
          <w:lang w:eastAsia="fr-FR"/>
        </w:rPr>
      </w:pPr>
      <w:hyperlink w:anchor="_Toc523327679" w:history="1">
        <w:r w:rsidRPr="0050761E">
          <w:rPr>
            <w:rStyle w:val="Lienhypertexte"/>
          </w:rPr>
          <w:t>1.1.3. Eviter les ruptures de droit</w:t>
        </w:r>
        <w:r>
          <w:rPr>
            <w:webHidden/>
          </w:rPr>
          <w:tab/>
        </w:r>
        <w:r>
          <w:rPr>
            <w:webHidden/>
          </w:rPr>
          <w:fldChar w:fldCharType="begin"/>
        </w:r>
        <w:r>
          <w:rPr>
            <w:webHidden/>
          </w:rPr>
          <w:instrText xml:space="preserve"> PAGEREF _Toc523327679 \h </w:instrText>
        </w:r>
        <w:r>
          <w:rPr>
            <w:webHidden/>
          </w:rPr>
        </w:r>
        <w:r>
          <w:rPr>
            <w:webHidden/>
          </w:rPr>
          <w:fldChar w:fldCharType="separate"/>
        </w:r>
        <w:r>
          <w:rPr>
            <w:webHidden/>
          </w:rPr>
          <w:t>17</w:t>
        </w:r>
        <w:r>
          <w:rPr>
            <w:webHidden/>
          </w:rPr>
          <w:fldChar w:fldCharType="end"/>
        </w:r>
      </w:hyperlink>
    </w:p>
    <w:p w14:paraId="2B0F1EC0" w14:textId="77777777" w:rsidR="00D96336" w:rsidRDefault="00D96336">
      <w:pPr>
        <w:pStyle w:val="TM4"/>
        <w:rPr>
          <w:rFonts w:asciiTheme="minorHAnsi" w:eastAsiaTheme="minorEastAsia" w:hAnsiTheme="minorHAnsi" w:cstheme="minorBidi"/>
          <w:i w:val="0"/>
          <w:color w:val="auto"/>
          <w:lang w:eastAsia="fr-FR"/>
        </w:rPr>
      </w:pPr>
      <w:hyperlink w:anchor="_Toc523327680" w:history="1">
        <w:r w:rsidRPr="0050761E">
          <w:rPr>
            <w:rStyle w:val="Lienhypertexte"/>
          </w:rPr>
          <w:t>1.1.4. Simplifier l’AME et harmoniser son instruction sur le territoire</w:t>
        </w:r>
        <w:r>
          <w:rPr>
            <w:webHidden/>
          </w:rPr>
          <w:tab/>
        </w:r>
        <w:r>
          <w:rPr>
            <w:webHidden/>
          </w:rPr>
          <w:fldChar w:fldCharType="begin"/>
        </w:r>
        <w:r>
          <w:rPr>
            <w:webHidden/>
          </w:rPr>
          <w:instrText xml:space="preserve"> PAGEREF _Toc523327680 \h </w:instrText>
        </w:r>
        <w:r>
          <w:rPr>
            <w:webHidden/>
          </w:rPr>
        </w:r>
        <w:r>
          <w:rPr>
            <w:webHidden/>
          </w:rPr>
          <w:fldChar w:fldCharType="separate"/>
        </w:r>
        <w:r>
          <w:rPr>
            <w:webHidden/>
          </w:rPr>
          <w:t>19</w:t>
        </w:r>
        <w:r>
          <w:rPr>
            <w:webHidden/>
          </w:rPr>
          <w:fldChar w:fldCharType="end"/>
        </w:r>
      </w:hyperlink>
    </w:p>
    <w:p w14:paraId="7E1B655E" w14:textId="77777777" w:rsidR="00D96336" w:rsidRDefault="00D96336">
      <w:pPr>
        <w:pStyle w:val="TM3"/>
        <w:rPr>
          <w:rFonts w:asciiTheme="minorHAnsi" w:eastAsiaTheme="minorEastAsia" w:hAnsiTheme="minorHAnsi" w:cstheme="minorBidi"/>
          <w:noProof/>
          <w:szCs w:val="22"/>
        </w:rPr>
      </w:pPr>
      <w:hyperlink w:anchor="_Toc523327681" w:history="1">
        <w:r w:rsidRPr="0050761E">
          <w:rPr>
            <w:rStyle w:val="Lienhypertexte"/>
            <w:noProof/>
          </w:rPr>
          <w:t>1.2. Rendre les soins financièrement accessibles</w:t>
        </w:r>
        <w:r>
          <w:rPr>
            <w:noProof/>
            <w:webHidden/>
          </w:rPr>
          <w:tab/>
        </w:r>
        <w:r>
          <w:rPr>
            <w:noProof/>
            <w:webHidden/>
          </w:rPr>
          <w:fldChar w:fldCharType="begin"/>
        </w:r>
        <w:r>
          <w:rPr>
            <w:noProof/>
            <w:webHidden/>
          </w:rPr>
          <w:instrText xml:space="preserve"> PAGEREF _Toc523327681 \h </w:instrText>
        </w:r>
        <w:r>
          <w:rPr>
            <w:noProof/>
            <w:webHidden/>
          </w:rPr>
        </w:r>
        <w:r>
          <w:rPr>
            <w:noProof/>
            <w:webHidden/>
          </w:rPr>
          <w:fldChar w:fldCharType="separate"/>
        </w:r>
        <w:r>
          <w:rPr>
            <w:noProof/>
            <w:webHidden/>
          </w:rPr>
          <w:t>20</w:t>
        </w:r>
        <w:r>
          <w:rPr>
            <w:noProof/>
            <w:webHidden/>
          </w:rPr>
          <w:fldChar w:fldCharType="end"/>
        </w:r>
      </w:hyperlink>
    </w:p>
    <w:p w14:paraId="7C0CBB22" w14:textId="77777777" w:rsidR="00D96336" w:rsidRDefault="00D96336">
      <w:pPr>
        <w:pStyle w:val="TM4"/>
        <w:rPr>
          <w:rFonts w:asciiTheme="minorHAnsi" w:eastAsiaTheme="minorEastAsia" w:hAnsiTheme="minorHAnsi" w:cstheme="minorBidi"/>
          <w:i w:val="0"/>
          <w:color w:val="auto"/>
          <w:lang w:eastAsia="fr-FR"/>
        </w:rPr>
      </w:pPr>
      <w:hyperlink w:anchor="_Toc523327682" w:history="1">
        <w:r w:rsidRPr="0050761E">
          <w:rPr>
            <w:rStyle w:val="Lienhypertexte"/>
          </w:rPr>
          <w:t>1.2.1. Réduire les restes à charges en santé des personnes en situation de handicap ou de précarité</w:t>
        </w:r>
        <w:r>
          <w:rPr>
            <w:webHidden/>
          </w:rPr>
          <w:tab/>
        </w:r>
        <w:r>
          <w:rPr>
            <w:webHidden/>
          </w:rPr>
          <w:fldChar w:fldCharType="begin"/>
        </w:r>
        <w:r>
          <w:rPr>
            <w:webHidden/>
          </w:rPr>
          <w:instrText xml:space="preserve"> PAGEREF _Toc523327682 \h </w:instrText>
        </w:r>
        <w:r>
          <w:rPr>
            <w:webHidden/>
          </w:rPr>
        </w:r>
        <w:r>
          <w:rPr>
            <w:webHidden/>
          </w:rPr>
          <w:fldChar w:fldCharType="separate"/>
        </w:r>
        <w:r>
          <w:rPr>
            <w:webHidden/>
          </w:rPr>
          <w:t>20</w:t>
        </w:r>
        <w:r>
          <w:rPr>
            <w:webHidden/>
          </w:rPr>
          <w:fldChar w:fldCharType="end"/>
        </w:r>
      </w:hyperlink>
    </w:p>
    <w:p w14:paraId="0F740E73" w14:textId="77777777" w:rsidR="00D96336" w:rsidRDefault="00D96336">
      <w:pPr>
        <w:pStyle w:val="TM4"/>
        <w:rPr>
          <w:rFonts w:asciiTheme="minorHAnsi" w:eastAsiaTheme="minorEastAsia" w:hAnsiTheme="minorHAnsi" w:cstheme="minorBidi"/>
          <w:i w:val="0"/>
          <w:color w:val="auto"/>
          <w:lang w:eastAsia="fr-FR"/>
        </w:rPr>
      </w:pPr>
      <w:hyperlink w:anchor="_Toc523327683" w:history="1">
        <w:r w:rsidRPr="0050761E">
          <w:rPr>
            <w:rStyle w:val="Lienhypertexte"/>
          </w:rPr>
          <w:t>1.2.2. Prévenir les restes à charge pour les personnes en situation irrégulière</w:t>
        </w:r>
        <w:r>
          <w:rPr>
            <w:webHidden/>
          </w:rPr>
          <w:tab/>
        </w:r>
        <w:r>
          <w:rPr>
            <w:webHidden/>
          </w:rPr>
          <w:fldChar w:fldCharType="begin"/>
        </w:r>
        <w:r>
          <w:rPr>
            <w:webHidden/>
          </w:rPr>
          <w:instrText xml:space="preserve"> PAGEREF _Toc523327683 \h </w:instrText>
        </w:r>
        <w:r>
          <w:rPr>
            <w:webHidden/>
          </w:rPr>
        </w:r>
        <w:r>
          <w:rPr>
            <w:webHidden/>
          </w:rPr>
          <w:fldChar w:fldCharType="separate"/>
        </w:r>
        <w:r>
          <w:rPr>
            <w:webHidden/>
          </w:rPr>
          <w:t>26</w:t>
        </w:r>
        <w:r>
          <w:rPr>
            <w:webHidden/>
          </w:rPr>
          <w:fldChar w:fldCharType="end"/>
        </w:r>
      </w:hyperlink>
    </w:p>
    <w:p w14:paraId="725B186F" w14:textId="77777777" w:rsidR="00D96336" w:rsidRDefault="00D96336">
      <w:pPr>
        <w:pStyle w:val="TM2"/>
        <w:rPr>
          <w:rFonts w:asciiTheme="minorHAnsi" w:eastAsiaTheme="minorEastAsia" w:hAnsiTheme="minorHAnsi" w:cstheme="minorBidi"/>
          <w:b w:val="0"/>
          <w:bCs w:val="0"/>
          <w:szCs w:val="22"/>
        </w:rPr>
      </w:pPr>
      <w:hyperlink w:anchor="_Toc523327684" w:history="1">
        <w:r w:rsidRPr="0050761E">
          <w:rPr>
            <w:rStyle w:val="Lienhypertexte"/>
          </w:rPr>
          <w:t>2. Faciliter l’accès à la santé : « Aller vers »</w:t>
        </w:r>
        <w:r>
          <w:rPr>
            <w:webHidden/>
          </w:rPr>
          <w:tab/>
        </w:r>
        <w:r>
          <w:rPr>
            <w:webHidden/>
          </w:rPr>
          <w:fldChar w:fldCharType="begin"/>
        </w:r>
        <w:r>
          <w:rPr>
            <w:webHidden/>
          </w:rPr>
          <w:instrText xml:space="preserve"> PAGEREF _Toc523327684 \h </w:instrText>
        </w:r>
        <w:r>
          <w:rPr>
            <w:webHidden/>
          </w:rPr>
        </w:r>
        <w:r>
          <w:rPr>
            <w:webHidden/>
          </w:rPr>
          <w:fldChar w:fldCharType="separate"/>
        </w:r>
        <w:r>
          <w:rPr>
            <w:webHidden/>
          </w:rPr>
          <w:t>29</w:t>
        </w:r>
        <w:r>
          <w:rPr>
            <w:webHidden/>
          </w:rPr>
          <w:fldChar w:fldCharType="end"/>
        </w:r>
      </w:hyperlink>
    </w:p>
    <w:p w14:paraId="2BC53F2E" w14:textId="77777777" w:rsidR="00D96336" w:rsidRDefault="00D96336">
      <w:pPr>
        <w:pStyle w:val="TM3"/>
        <w:rPr>
          <w:rFonts w:asciiTheme="minorHAnsi" w:eastAsiaTheme="minorEastAsia" w:hAnsiTheme="minorHAnsi" w:cstheme="minorBidi"/>
          <w:noProof/>
          <w:szCs w:val="22"/>
        </w:rPr>
      </w:pPr>
      <w:hyperlink w:anchor="_Toc523327685" w:history="1">
        <w:r w:rsidRPr="0050761E">
          <w:rPr>
            <w:rStyle w:val="Lienhypertexte"/>
            <w:noProof/>
          </w:rPr>
          <w:t>2.1. Faciliter l’accès à l’offre : organiser un repérage, une orientation et un accompagnement des personnes dans chaque territoire</w:t>
        </w:r>
        <w:r>
          <w:rPr>
            <w:noProof/>
            <w:webHidden/>
          </w:rPr>
          <w:tab/>
        </w:r>
        <w:r>
          <w:rPr>
            <w:noProof/>
            <w:webHidden/>
          </w:rPr>
          <w:fldChar w:fldCharType="begin"/>
        </w:r>
        <w:r>
          <w:rPr>
            <w:noProof/>
            <w:webHidden/>
          </w:rPr>
          <w:instrText xml:space="preserve"> PAGEREF _Toc523327685 \h </w:instrText>
        </w:r>
        <w:r>
          <w:rPr>
            <w:noProof/>
            <w:webHidden/>
          </w:rPr>
        </w:r>
        <w:r>
          <w:rPr>
            <w:noProof/>
            <w:webHidden/>
          </w:rPr>
          <w:fldChar w:fldCharType="separate"/>
        </w:r>
        <w:r>
          <w:rPr>
            <w:noProof/>
            <w:webHidden/>
          </w:rPr>
          <w:t>29</w:t>
        </w:r>
        <w:r>
          <w:rPr>
            <w:noProof/>
            <w:webHidden/>
          </w:rPr>
          <w:fldChar w:fldCharType="end"/>
        </w:r>
      </w:hyperlink>
    </w:p>
    <w:p w14:paraId="49158DEB" w14:textId="77777777" w:rsidR="00D96336" w:rsidRDefault="00D96336">
      <w:pPr>
        <w:pStyle w:val="TM4"/>
        <w:rPr>
          <w:rFonts w:asciiTheme="minorHAnsi" w:eastAsiaTheme="minorEastAsia" w:hAnsiTheme="minorHAnsi" w:cstheme="minorBidi"/>
          <w:i w:val="0"/>
          <w:color w:val="auto"/>
          <w:lang w:eastAsia="fr-FR"/>
        </w:rPr>
      </w:pPr>
      <w:hyperlink w:anchor="_Toc523327686" w:history="1">
        <w:r w:rsidRPr="0050761E">
          <w:rPr>
            <w:rStyle w:val="Lienhypertexte"/>
          </w:rPr>
          <w:t>2.1.1. Accompagner les personnes : l’esprit de la plateforme « PFIDASS »</w:t>
        </w:r>
        <w:r>
          <w:rPr>
            <w:webHidden/>
          </w:rPr>
          <w:tab/>
        </w:r>
        <w:r>
          <w:rPr>
            <w:webHidden/>
          </w:rPr>
          <w:fldChar w:fldCharType="begin"/>
        </w:r>
        <w:r>
          <w:rPr>
            <w:webHidden/>
          </w:rPr>
          <w:instrText xml:space="preserve"> PAGEREF _Toc523327686 \h </w:instrText>
        </w:r>
        <w:r>
          <w:rPr>
            <w:webHidden/>
          </w:rPr>
        </w:r>
        <w:r>
          <w:rPr>
            <w:webHidden/>
          </w:rPr>
          <w:fldChar w:fldCharType="separate"/>
        </w:r>
        <w:r>
          <w:rPr>
            <w:webHidden/>
          </w:rPr>
          <w:t>29</w:t>
        </w:r>
        <w:r>
          <w:rPr>
            <w:webHidden/>
          </w:rPr>
          <w:fldChar w:fldCharType="end"/>
        </w:r>
      </w:hyperlink>
    </w:p>
    <w:p w14:paraId="5AF251C7" w14:textId="77777777" w:rsidR="00D96336" w:rsidRDefault="00D96336">
      <w:pPr>
        <w:pStyle w:val="TM4"/>
        <w:rPr>
          <w:rFonts w:asciiTheme="minorHAnsi" w:eastAsiaTheme="minorEastAsia" w:hAnsiTheme="minorHAnsi" w:cstheme="minorBidi"/>
          <w:i w:val="0"/>
          <w:color w:val="auto"/>
          <w:lang w:eastAsia="fr-FR"/>
        </w:rPr>
      </w:pPr>
      <w:hyperlink w:anchor="_Toc523327687" w:history="1">
        <w:r w:rsidRPr="0050761E">
          <w:rPr>
            <w:rStyle w:val="Lienhypertexte"/>
          </w:rPr>
          <w:t>2.1.2. Intégrer les outils numériques dans les démarches favorisant l’accès aux soins</w:t>
        </w:r>
        <w:r>
          <w:rPr>
            <w:webHidden/>
          </w:rPr>
          <w:tab/>
        </w:r>
        <w:r>
          <w:rPr>
            <w:webHidden/>
          </w:rPr>
          <w:fldChar w:fldCharType="begin"/>
        </w:r>
        <w:r>
          <w:rPr>
            <w:webHidden/>
          </w:rPr>
          <w:instrText xml:space="preserve"> PAGEREF _Toc523327687 \h </w:instrText>
        </w:r>
        <w:r>
          <w:rPr>
            <w:webHidden/>
          </w:rPr>
        </w:r>
        <w:r>
          <w:rPr>
            <w:webHidden/>
          </w:rPr>
          <w:fldChar w:fldCharType="separate"/>
        </w:r>
        <w:r>
          <w:rPr>
            <w:webHidden/>
          </w:rPr>
          <w:t>30</w:t>
        </w:r>
        <w:r>
          <w:rPr>
            <w:webHidden/>
          </w:rPr>
          <w:fldChar w:fldCharType="end"/>
        </w:r>
      </w:hyperlink>
    </w:p>
    <w:p w14:paraId="1D381E3B" w14:textId="77777777" w:rsidR="00D96336" w:rsidRDefault="00D96336">
      <w:pPr>
        <w:pStyle w:val="TM3"/>
        <w:rPr>
          <w:rFonts w:asciiTheme="minorHAnsi" w:eastAsiaTheme="minorEastAsia" w:hAnsiTheme="minorHAnsi" w:cstheme="minorBidi"/>
          <w:noProof/>
          <w:szCs w:val="22"/>
        </w:rPr>
      </w:pPr>
      <w:hyperlink w:anchor="_Toc523327688" w:history="1">
        <w:r w:rsidRPr="0050761E">
          <w:rPr>
            <w:rStyle w:val="Lienhypertexte"/>
            <w:noProof/>
          </w:rPr>
          <w:t>2.2. Amener le soin aux plus fragiles</w:t>
        </w:r>
        <w:r>
          <w:rPr>
            <w:noProof/>
            <w:webHidden/>
          </w:rPr>
          <w:tab/>
        </w:r>
        <w:r>
          <w:rPr>
            <w:noProof/>
            <w:webHidden/>
          </w:rPr>
          <w:fldChar w:fldCharType="begin"/>
        </w:r>
        <w:r>
          <w:rPr>
            <w:noProof/>
            <w:webHidden/>
          </w:rPr>
          <w:instrText xml:space="preserve"> PAGEREF _Toc523327688 \h </w:instrText>
        </w:r>
        <w:r>
          <w:rPr>
            <w:noProof/>
            <w:webHidden/>
          </w:rPr>
        </w:r>
        <w:r>
          <w:rPr>
            <w:noProof/>
            <w:webHidden/>
          </w:rPr>
          <w:fldChar w:fldCharType="separate"/>
        </w:r>
        <w:r>
          <w:rPr>
            <w:noProof/>
            <w:webHidden/>
          </w:rPr>
          <w:t>31</w:t>
        </w:r>
        <w:r>
          <w:rPr>
            <w:noProof/>
            <w:webHidden/>
          </w:rPr>
          <w:fldChar w:fldCharType="end"/>
        </w:r>
      </w:hyperlink>
    </w:p>
    <w:p w14:paraId="0CEC763C" w14:textId="77777777" w:rsidR="00D96336" w:rsidRDefault="00D96336">
      <w:pPr>
        <w:pStyle w:val="TM4"/>
        <w:rPr>
          <w:rFonts w:asciiTheme="minorHAnsi" w:eastAsiaTheme="minorEastAsia" w:hAnsiTheme="minorHAnsi" w:cstheme="minorBidi"/>
          <w:i w:val="0"/>
          <w:color w:val="auto"/>
          <w:lang w:eastAsia="fr-FR"/>
        </w:rPr>
      </w:pPr>
      <w:hyperlink w:anchor="_Toc523327689" w:history="1">
        <w:r w:rsidRPr="0050761E">
          <w:rPr>
            <w:rStyle w:val="Lienhypertexte"/>
          </w:rPr>
          <w:t>2.2.1. Ramener les personnes sans-domicile fixe dans le système de soins</w:t>
        </w:r>
        <w:r>
          <w:rPr>
            <w:webHidden/>
          </w:rPr>
          <w:tab/>
        </w:r>
        <w:r>
          <w:rPr>
            <w:webHidden/>
          </w:rPr>
          <w:fldChar w:fldCharType="begin"/>
        </w:r>
        <w:r>
          <w:rPr>
            <w:webHidden/>
          </w:rPr>
          <w:instrText xml:space="preserve"> PAGEREF _Toc523327689 \h </w:instrText>
        </w:r>
        <w:r>
          <w:rPr>
            <w:webHidden/>
          </w:rPr>
        </w:r>
        <w:r>
          <w:rPr>
            <w:webHidden/>
          </w:rPr>
          <w:fldChar w:fldCharType="separate"/>
        </w:r>
        <w:r>
          <w:rPr>
            <w:webHidden/>
          </w:rPr>
          <w:t>31</w:t>
        </w:r>
        <w:r>
          <w:rPr>
            <w:webHidden/>
          </w:rPr>
          <w:fldChar w:fldCharType="end"/>
        </w:r>
      </w:hyperlink>
    </w:p>
    <w:p w14:paraId="66808322" w14:textId="77777777" w:rsidR="00D96336" w:rsidRDefault="00D96336">
      <w:pPr>
        <w:pStyle w:val="TM4"/>
        <w:rPr>
          <w:rFonts w:asciiTheme="minorHAnsi" w:eastAsiaTheme="minorEastAsia" w:hAnsiTheme="minorHAnsi" w:cstheme="minorBidi"/>
          <w:i w:val="0"/>
          <w:color w:val="auto"/>
          <w:lang w:eastAsia="fr-FR"/>
        </w:rPr>
      </w:pPr>
      <w:hyperlink w:anchor="_Toc523327690" w:history="1">
        <w:r w:rsidRPr="0050761E">
          <w:rPr>
            <w:rStyle w:val="Lienhypertexte"/>
          </w:rPr>
          <w:t>2.2.2. Elaborer des parcours de soins pour les migrants</w:t>
        </w:r>
        <w:r>
          <w:rPr>
            <w:webHidden/>
          </w:rPr>
          <w:tab/>
        </w:r>
        <w:r>
          <w:rPr>
            <w:webHidden/>
          </w:rPr>
          <w:fldChar w:fldCharType="begin"/>
        </w:r>
        <w:r>
          <w:rPr>
            <w:webHidden/>
          </w:rPr>
          <w:instrText xml:space="preserve"> PAGEREF _Toc523327690 \h </w:instrText>
        </w:r>
        <w:r>
          <w:rPr>
            <w:webHidden/>
          </w:rPr>
        </w:r>
        <w:r>
          <w:rPr>
            <w:webHidden/>
          </w:rPr>
          <w:fldChar w:fldCharType="separate"/>
        </w:r>
        <w:r>
          <w:rPr>
            <w:webHidden/>
          </w:rPr>
          <w:t>32</w:t>
        </w:r>
        <w:r>
          <w:rPr>
            <w:webHidden/>
          </w:rPr>
          <w:fldChar w:fldCharType="end"/>
        </w:r>
      </w:hyperlink>
    </w:p>
    <w:p w14:paraId="6B33970D" w14:textId="77777777" w:rsidR="00D96336" w:rsidRDefault="00D96336">
      <w:pPr>
        <w:pStyle w:val="TM3"/>
        <w:rPr>
          <w:rFonts w:asciiTheme="minorHAnsi" w:eastAsiaTheme="minorEastAsia" w:hAnsiTheme="minorHAnsi" w:cstheme="minorBidi"/>
          <w:noProof/>
          <w:szCs w:val="22"/>
        </w:rPr>
      </w:pPr>
      <w:hyperlink w:anchor="_Toc523327691" w:history="1">
        <w:r w:rsidRPr="0050761E">
          <w:rPr>
            <w:rStyle w:val="Lienhypertexte"/>
            <w:noProof/>
          </w:rPr>
          <w:t>2.3. Accompagner les professionnels de santé et adapter leurs compétences</w:t>
        </w:r>
        <w:r>
          <w:rPr>
            <w:noProof/>
            <w:webHidden/>
          </w:rPr>
          <w:tab/>
        </w:r>
        <w:r>
          <w:rPr>
            <w:noProof/>
            <w:webHidden/>
          </w:rPr>
          <w:fldChar w:fldCharType="begin"/>
        </w:r>
        <w:r>
          <w:rPr>
            <w:noProof/>
            <w:webHidden/>
          </w:rPr>
          <w:instrText xml:space="preserve"> PAGEREF _Toc523327691 \h </w:instrText>
        </w:r>
        <w:r>
          <w:rPr>
            <w:noProof/>
            <w:webHidden/>
          </w:rPr>
        </w:r>
        <w:r>
          <w:rPr>
            <w:noProof/>
            <w:webHidden/>
          </w:rPr>
          <w:fldChar w:fldCharType="separate"/>
        </w:r>
        <w:r>
          <w:rPr>
            <w:noProof/>
            <w:webHidden/>
          </w:rPr>
          <w:t>33</w:t>
        </w:r>
        <w:r>
          <w:rPr>
            <w:noProof/>
            <w:webHidden/>
          </w:rPr>
          <w:fldChar w:fldCharType="end"/>
        </w:r>
      </w:hyperlink>
    </w:p>
    <w:p w14:paraId="3536B68C" w14:textId="77777777" w:rsidR="00D96336" w:rsidRDefault="00D96336">
      <w:pPr>
        <w:pStyle w:val="TM4"/>
        <w:rPr>
          <w:rFonts w:asciiTheme="minorHAnsi" w:eastAsiaTheme="minorEastAsia" w:hAnsiTheme="minorHAnsi" w:cstheme="minorBidi"/>
          <w:i w:val="0"/>
          <w:color w:val="auto"/>
          <w:lang w:eastAsia="fr-FR"/>
        </w:rPr>
      </w:pPr>
      <w:hyperlink w:anchor="_Toc523327692" w:history="1">
        <w:r w:rsidRPr="0050761E">
          <w:rPr>
            <w:rStyle w:val="Lienhypertexte"/>
          </w:rPr>
          <w:t>2.3.1. Accompagner les professionnels de santé</w:t>
        </w:r>
        <w:r>
          <w:rPr>
            <w:webHidden/>
          </w:rPr>
          <w:tab/>
        </w:r>
        <w:r>
          <w:rPr>
            <w:webHidden/>
          </w:rPr>
          <w:fldChar w:fldCharType="begin"/>
        </w:r>
        <w:r>
          <w:rPr>
            <w:webHidden/>
          </w:rPr>
          <w:instrText xml:space="preserve"> PAGEREF _Toc523327692 \h </w:instrText>
        </w:r>
        <w:r>
          <w:rPr>
            <w:webHidden/>
          </w:rPr>
        </w:r>
        <w:r>
          <w:rPr>
            <w:webHidden/>
          </w:rPr>
          <w:fldChar w:fldCharType="separate"/>
        </w:r>
        <w:r>
          <w:rPr>
            <w:webHidden/>
          </w:rPr>
          <w:t>33</w:t>
        </w:r>
        <w:r>
          <w:rPr>
            <w:webHidden/>
          </w:rPr>
          <w:fldChar w:fldCharType="end"/>
        </w:r>
      </w:hyperlink>
    </w:p>
    <w:p w14:paraId="0F05F733" w14:textId="77777777" w:rsidR="00D96336" w:rsidRDefault="00D96336">
      <w:pPr>
        <w:pStyle w:val="TM4"/>
        <w:rPr>
          <w:rFonts w:asciiTheme="minorHAnsi" w:eastAsiaTheme="minorEastAsia" w:hAnsiTheme="minorHAnsi" w:cstheme="minorBidi"/>
          <w:i w:val="0"/>
          <w:color w:val="auto"/>
          <w:lang w:eastAsia="fr-FR"/>
        </w:rPr>
      </w:pPr>
      <w:hyperlink w:anchor="_Toc523327693" w:history="1">
        <w:r w:rsidRPr="0050761E">
          <w:rPr>
            <w:rStyle w:val="Lienhypertexte"/>
          </w:rPr>
          <w:t>2.3.2. Adapter les compétences des professionnels de santé</w:t>
        </w:r>
        <w:r>
          <w:rPr>
            <w:webHidden/>
          </w:rPr>
          <w:tab/>
        </w:r>
        <w:r>
          <w:rPr>
            <w:webHidden/>
          </w:rPr>
          <w:fldChar w:fldCharType="begin"/>
        </w:r>
        <w:r>
          <w:rPr>
            <w:webHidden/>
          </w:rPr>
          <w:instrText xml:space="preserve"> PAGEREF _Toc523327693 \h </w:instrText>
        </w:r>
        <w:r>
          <w:rPr>
            <w:webHidden/>
          </w:rPr>
        </w:r>
        <w:r>
          <w:rPr>
            <w:webHidden/>
          </w:rPr>
          <w:fldChar w:fldCharType="separate"/>
        </w:r>
        <w:r>
          <w:rPr>
            <w:webHidden/>
          </w:rPr>
          <w:t>35</w:t>
        </w:r>
        <w:r>
          <w:rPr>
            <w:webHidden/>
          </w:rPr>
          <w:fldChar w:fldCharType="end"/>
        </w:r>
      </w:hyperlink>
    </w:p>
    <w:p w14:paraId="72E906F0" w14:textId="77777777" w:rsidR="00D96336" w:rsidRDefault="00D96336">
      <w:pPr>
        <w:pStyle w:val="TM3"/>
        <w:rPr>
          <w:rFonts w:asciiTheme="minorHAnsi" w:eastAsiaTheme="minorEastAsia" w:hAnsiTheme="minorHAnsi" w:cstheme="minorBidi"/>
          <w:noProof/>
          <w:szCs w:val="22"/>
        </w:rPr>
      </w:pPr>
      <w:hyperlink w:anchor="_Toc523327694" w:history="1">
        <w:r w:rsidRPr="0050761E">
          <w:rPr>
            <w:rStyle w:val="Lienhypertexte"/>
            <w:noProof/>
          </w:rPr>
          <w:t>2.4. Structurer et renforcer les structures ressources dédiées</w:t>
        </w:r>
        <w:r>
          <w:rPr>
            <w:noProof/>
            <w:webHidden/>
          </w:rPr>
          <w:tab/>
        </w:r>
        <w:r>
          <w:rPr>
            <w:noProof/>
            <w:webHidden/>
          </w:rPr>
          <w:fldChar w:fldCharType="begin"/>
        </w:r>
        <w:r>
          <w:rPr>
            <w:noProof/>
            <w:webHidden/>
          </w:rPr>
          <w:instrText xml:space="preserve"> PAGEREF _Toc523327694 \h </w:instrText>
        </w:r>
        <w:r>
          <w:rPr>
            <w:noProof/>
            <w:webHidden/>
          </w:rPr>
        </w:r>
        <w:r>
          <w:rPr>
            <w:noProof/>
            <w:webHidden/>
          </w:rPr>
          <w:fldChar w:fldCharType="separate"/>
        </w:r>
        <w:r>
          <w:rPr>
            <w:noProof/>
            <w:webHidden/>
          </w:rPr>
          <w:t>35</w:t>
        </w:r>
        <w:r>
          <w:rPr>
            <w:noProof/>
            <w:webHidden/>
          </w:rPr>
          <w:fldChar w:fldCharType="end"/>
        </w:r>
      </w:hyperlink>
    </w:p>
    <w:p w14:paraId="70BC13DB" w14:textId="77777777" w:rsidR="00D96336" w:rsidRDefault="00D96336">
      <w:pPr>
        <w:pStyle w:val="TM4"/>
        <w:rPr>
          <w:rFonts w:asciiTheme="minorHAnsi" w:eastAsiaTheme="minorEastAsia" w:hAnsiTheme="minorHAnsi" w:cstheme="minorBidi"/>
          <w:i w:val="0"/>
          <w:color w:val="auto"/>
          <w:lang w:eastAsia="fr-FR"/>
        </w:rPr>
      </w:pPr>
      <w:hyperlink w:anchor="_Toc523327695" w:history="1">
        <w:r w:rsidRPr="0050761E">
          <w:rPr>
            <w:rStyle w:val="Lienhypertexte"/>
          </w:rPr>
          <w:t>2.4.1. Pour les personnes en situation de handicap</w:t>
        </w:r>
        <w:r>
          <w:rPr>
            <w:webHidden/>
          </w:rPr>
          <w:tab/>
        </w:r>
        <w:r>
          <w:rPr>
            <w:webHidden/>
          </w:rPr>
          <w:fldChar w:fldCharType="begin"/>
        </w:r>
        <w:r>
          <w:rPr>
            <w:webHidden/>
          </w:rPr>
          <w:instrText xml:space="preserve"> PAGEREF _Toc523327695 \h </w:instrText>
        </w:r>
        <w:r>
          <w:rPr>
            <w:webHidden/>
          </w:rPr>
        </w:r>
        <w:r>
          <w:rPr>
            <w:webHidden/>
          </w:rPr>
          <w:fldChar w:fldCharType="separate"/>
        </w:r>
        <w:r>
          <w:rPr>
            <w:webHidden/>
          </w:rPr>
          <w:t>35</w:t>
        </w:r>
        <w:r>
          <w:rPr>
            <w:webHidden/>
          </w:rPr>
          <w:fldChar w:fldCharType="end"/>
        </w:r>
      </w:hyperlink>
    </w:p>
    <w:p w14:paraId="7A529D55" w14:textId="77777777" w:rsidR="00D96336" w:rsidRDefault="00D96336">
      <w:pPr>
        <w:pStyle w:val="TM4"/>
        <w:rPr>
          <w:rFonts w:asciiTheme="minorHAnsi" w:eastAsiaTheme="minorEastAsia" w:hAnsiTheme="minorHAnsi" w:cstheme="minorBidi"/>
          <w:i w:val="0"/>
          <w:color w:val="auto"/>
          <w:lang w:eastAsia="fr-FR"/>
        </w:rPr>
      </w:pPr>
      <w:hyperlink w:anchor="_Toc523327696" w:history="1">
        <w:r w:rsidRPr="0050761E">
          <w:rPr>
            <w:rStyle w:val="Lienhypertexte"/>
          </w:rPr>
          <w:t>2.4.2. Pour les personnes en exclusion sociale</w:t>
        </w:r>
        <w:r>
          <w:rPr>
            <w:webHidden/>
          </w:rPr>
          <w:tab/>
        </w:r>
        <w:r>
          <w:rPr>
            <w:webHidden/>
          </w:rPr>
          <w:fldChar w:fldCharType="begin"/>
        </w:r>
        <w:r>
          <w:rPr>
            <w:webHidden/>
          </w:rPr>
          <w:instrText xml:space="preserve"> PAGEREF _Toc523327696 \h </w:instrText>
        </w:r>
        <w:r>
          <w:rPr>
            <w:webHidden/>
          </w:rPr>
        </w:r>
        <w:r>
          <w:rPr>
            <w:webHidden/>
          </w:rPr>
          <w:fldChar w:fldCharType="separate"/>
        </w:r>
        <w:r>
          <w:rPr>
            <w:webHidden/>
          </w:rPr>
          <w:t>36</w:t>
        </w:r>
        <w:r>
          <w:rPr>
            <w:webHidden/>
          </w:rPr>
          <w:fldChar w:fldCharType="end"/>
        </w:r>
      </w:hyperlink>
    </w:p>
    <w:p w14:paraId="4E6AD1EB" w14:textId="77777777" w:rsidR="00D96336" w:rsidRDefault="00D96336">
      <w:pPr>
        <w:pStyle w:val="TM3"/>
        <w:rPr>
          <w:rFonts w:asciiTheme="minorHAnsi" w:eastAsiaTheme="minorEastAsia" w:hAnsiTheme="minorHAnsi" w:cstheme="minorBidi"/>
          <w:noProof/>
          <w:szCs w:val="22"/>
        </w:rPr>
      </w:pPr>
      <w:hyperlink w:anchor="_Toc523327697" w:history="1">
        <w:r w:rsidRPr="0050761E">
          <w:rPr>
            <w:rStyle w:val="Lienhypertexte"/>
            <w:noProof/>
          </w:rPr>
          <w:t>2.5. Mettre fin au refus de soins</w:t>
        </w:r>
        <w:r>
          <w:rPr>
            <w:noProof/>
            <w:webHidden/>
          </w:rPr>
          <w:tab/>
        </w:r>
        <w:r>
          <w:rPr>
            <w:noProof/>
            <w:webHidden/>
          </w:rPr>
          <w:fldChar w:fldCharType="begin"/>
        </w:r>
        <w:r>
          <w:rPr>
            <w:noProof/>
            <w:webHidden/>
          </w:rPr>
          <w:instrText xml:space="preserve"> PAGEREF _Toc523327697 \h </w:instrText>
        </w:r>
        <w:r>
          <w:rPr>
            <w:noProof/>
            <w:webHidden/>
          </w:rPr>
        </w:r>
        <w:r>
          <w:rPr>
            <w:noProof/>
            <w:webHidden/>
          </w:rPr>
          <w:fldChar w:fldCharType="separate"/>
        </w:r>
        <w:r>
          <w:rPr>
            <w:noProof/>
            <w:webHidden/>
          </w:rPr>
          <w:t>38</w:t>
        </w:r>
        <w:r>
          <w:rPr>
            <w:noProof/>
            <w:webHidden/>
          </w:rPr>
          <w:fldChar w:fldCharType="end"/>
        </w:r>
      </w:hyperlink>
    </w:p>
    <w:p w14:paraId="730410F0" w14:textId="77777777" w:rsidR="00D96336" w:rsidRDefault="00D96336">
      <w:pPr>
        <w:pStyle w:val="TM2"/>
        <w:rPr>
          <w:rFonts w:asciiTheme="minorHAnsi" w:eastAsiaTheme="minorEastAsia" w:hAnsiTheme="minorHAnsi" w:cstheme="minorBidi"/>
          <w:b w:val="0"/>
          <w:bCs w:val="0"/>
          <w:szCs w:val="22"/>
        </w:rPr>
      </w:pPr>
      <w:hyperlink w:anchor="_Toc523327698" w:history="1">
        <w:r w:rsidRPr="0050761E">
          <w:rPr>
            <w:rStyle w:val="Lienhypertexte"/>
          </w:rPr>
          <w:t>3. Mieux valoriser les spécificités de la prise en charge</w:t>
        </w:r>
        <w:r>
          <w:rPr>
            <w:webHidden/>
          </w:rPr>
          <w:tab/>
        </w:r>
        <w:r>
          <w:rPr>
            <w:webHidden/>
          </w:rPr>
          <w:fldChar w:fldCharType="begin"/>
        </w:r>
        <w:r>
          <w:rPr>
            <w:webHidden/>
          </w:rPr>
          <w:instrText xml:space="preserve"> PAGEREF _Toc523327698 \h </w:instrText>
        </w:r>
        <w:r>
          <w:rPr>
            <w:webHidden/>
          </w:rPr>
        </w:r>
        <w:r>
          <w:rPr>
            <w:webHidden/>
          </w:rPr>
          <w:fldChar w:fldCharType="separate"/>
        </w:r>
        <w:r>
          <w:rPr>
            <w:webHidden/>
          </w:rPr>
          <w:t>41</w:t>
        </w:r>
        <w:r>
          <w:rPr>
            <w:webHidden/>
          </w:rPr>
          <w:fldChar w:fldCharType="end"/>
        </w:r>
      </w:hyperlink>
    </w:p>
    <w:p w14:paraId="7E0ACEF4" w14:textId="77777777" w:rsidR="00D96336" w:rsidRDefault="00D96336">
      <w:pPr>
        <w:pStyle w:val="TM3"/>
        <w:rPr>
          <w:rFonts w:asciiTheme="minorHAnsi" w:eastAsiaTheme="minorEastAsia" w:hAnsiTheme="minorHAnsi" w:cstheme="minorBidi"/>
          <w:noProof/>
          <w:szCs w:val="22"/>
        </w:rPr>
      </w:pPr>
      <w:hyperlink w:anchor="_Toc523327699" w:history="1">
        <w:r w:rsidRPr="0050761E">
          <w:rPr>
            <w:rStyle w:val="Lienhypertexte"/>
            <w:noProof/>
          </w:rPr>
          <w:t>3.1. Valoriser le temps et la complexité de prise en charge dans les soins de ville</w:t>
        </w:r>
        <w:r>
          <w:rPr>
            <w:noProof/>
            <w:webHidden/>
          </w:rPr>
          <w:tab/>
        </w:r>
        <w:r>
          <w:rPr>
            <w:noProof/>
            <w:webHidden/>
          </w:rPr>
          <w:fldChar w:fldCharType="begin"/>
        </w:r>
        <w:r>
          <w:rPr>
            <w:noProof/>
            <w:webHidden/>
          </w:rPr>
          <w:instrText xml:space="preserve"> PAGEREF _Toc523327699 \h </w:instrText>
        </w:r>
        <w:r>
          <w:rPr>
            <w:noProof/>
            <w:webHidden/>
          </w:rPr>
        </w:r>
        <w:r>
          <w:rPr>
            <w:noProof/>
            <w:webHidden/>
          </w:rPr>
          <w:fldChar w:fldCharType="separate"/>
        </w:r>
        <w:r>
          <w:rPr>
            <w:noProof/>
            <w:webHidden/>
          </w:rPr>
          <w:t>41</w:t>
        </w:r>
        <w:r>
          <w:rPr>
            <w:noProof/>
            <w:webHidden/>
          </w:rPr>
          <w:fldChar w:fldCharType="end"/>
        </w:r>
      </w:hyperlink>
    </w:p>
    <w:p w14:paraId="7FB26BEF" w14:textId="77777777" w:rsidR="00D96336" w:rsidRDefault="00D96336">
      <w:pPr>
        <w:pStyle w:val="TM3"/>
        <w:rPr>
          <w:rFonts w:asciiTheme="minorHAnsi" w:eastAsiaTheme="minorEastAsia" w:hAnsiTheme="minorHAnsi" w:cstheme="minorBidi"/>
          <w:noProof/>
          <w:szCs w:val="22"/>
        </w:rPr>
      </w:pPr>
      <w:hyperlink w:anchor="_Toc523327700" w:history="1">
        <w:r w:rsidRPr="0050761E">
          <w:rPr>
            <w:rStyle w:val="Lienhypertexte"/>
            <w:noProof/>
          </w:rPr>
          <w:t>3.2. Valoriser le temps et la complexité de prise en charge dans les structures sanitaires</w:t>
        </w:r>
        <w:r>
          <w:rPr>
            <w:noProof/>
            <w:webHidden/>
          </w:rPr>
          <w:tab/>
        </w:r>
        <w:r>
          <w:rPr>
            <w:noProof/>
            <w:webHidden/>
          </w:rPr>
          <w:fldChar w:fldCharType="begin"/>
        </w:r>
        <w:r>
          <w:rPr>
            <w:noProof/>
            <w:webHidden/>
          </w:rPr>
          <w:instrText xml:space="preserve"> PAGEREF _Toc523327700 \h </w:instrText>
        </w:r>
        <w:r>
          <w:rPr>
            <w:noProof/>
            <w:webHidden/>
          </w:rPr>
        </w:r>
        <w:r>
          <w:rPr>
            <w:noProof/>
            <w:webHidden/>
          </w:rPr>
          <w:fldChar w:fldCharType="separate"/>
        </w:r>
        <w:r>
          <w:rPr>
            <w:noProof/>
            <w:webHidden/>
          </w:rPr>
          <w:t>41</w:t>
        </w:r>
        <w:r>
          <w:rPr>
            <w:noProof/>
            <w:webHidden/>
          </w:rPr>
          <w:fldChar w:fldCharType="end"/>
        </w:r>
      </w:hyperlink>
    </w:p>
    <w:p w14:paraId="7AE3B56B" w14:textId="77777777" w:rsidR="00D96336" w:rsidRDefault="00D96336">
      <w:pPr>
        <w:pStyle w:val="TM3"/>
        <w:rPr>
          <w:rFonts w:asciiTheme="minorHAnsi" w:eastAsiaTheme="minorEastAsia" w:hAnsiTheme="minorHAnsi" w:cstheme="minorBidi"/>
          <w:noProof/>
          <w:szCs w:val="22"/>
        </w:rPr>
      </w:pPr>
      <w:hyperlink w:anchor="_Toc523327701" w:history="1">
        <w:r w:rsidRPr="0050761E">
          <w:rPr>
            <w:rStyle w:val="Lienhypertexte"/>
            <w:noProof/>
          </w:rPr>
          <w:t>3.3. Définir clairement le contenu du panier de soins des établissements sanitaires et médico-sociaux</w:t>
        </w:r>
        <w:r>
          <w:rPr>
            <w:noProof/>
            <w:webHidden/>
          </w:rPr>
          <w:tab/>
        </w:r>
        <w:r>
          <w:rPr>
            <w:noProof/>
            <w:webHidden/>
          </w:rPr>
          <w:fldChar w:fldCharType="begin"/>
        </w:r>
        <w:r>
          <w:rPr>
            <w:noProof/>
            <w:webHidden/>
          </w:rPr>
          <w:instrText xml:space="preserve"> PAGEREF _Toc523327701 \h </w:instrText>
        </w:r>
        <w:r>
          <w:rPr>
            <w:noProof/>
            <w:webHidden/>
          </w:rPr>
        </w:r>
        <w:r>
          <w:rPr>
            <w:noProof/>
            <w:webHidden/>
          </w:rPr>
          <w:fldChar w:fldCharType="separate"/>
        </w:r>
        <w:r>
          <w:rPr>
            <w:noProof/>
            <w:webHidden/>
          </w:rPr>
          <w:t>43</w:t>
        </w:r>
        <w:r>
          <w:rPr>
            <w:noProof/>
            <w:webHidden/>
          </w:rPr>
          <w:fldChar w:fldCharType="end"/>
        </w:r>
      </w:hyperlink>
    </w:p>
    <w:p w14:paraId="0CB3C4FB" w14:textId="77777777" w:rsidR="00D96336" w:rsidRDefault="00D96336">
      <w:pPr>
        <w:pStyle w:val="TM3"/>
        <w:rPr>
          <w:rFonts w:asciiTheme="minorHAnsi" w:eastAsiaTheme="minorEastAsia" w:hAnsiTheme="minorHAnsi" w:cstheme="minorBidi"/>
          <w:noProof/>
          <w:szCs w:val="22"/>
        </w:rPr>
      </w:pPr>
      <w:hyperlink w:anchor="_Toc523327702" w:history="1">
        <w:r w:rsidRPr="0050761E">
          <w:rPr>
            <w:rStyle w:val="Lienhypertexte"/>
            <w:noProof/>
          </w:rPr>
          <w:t>3.4. Accepter les transports des personnes à mobilité réduite (TPMR) pour des transports sanitaires</w:t>
        </w:r>
        <w:r>
          <w:rPr>
            <w:noProof/>
            <w:webHidden/>
          </w:rPr>
          <w:tab/>
        </w:r>
        <w:r>
          <w:rPr>
            <w:noProof/>
            <w:webHidden/>
          </w:rPr>
          <w:fldChar w:fldCharType="begin"/>
        </w:r>
        <w:r>
          <w:rPr>
            <w:noProof/>
            <w:webHidden/>
          </w:rPr>
          <w:instrText xml:space="preserve"> PAGEREF _Toc523327702 \h </w:instrText>
        </w:r>
        <w:r>
          <w:rPr>
            <w:noProof/>
            <w:webHidden/>
          </w:rPr>
        </w:r>
        <w:r>
          <w:rPr>
            <w:noProof/>
            <w:webHidden/>
          </w:rPr>
          <w:fldChar w:fldCharType="separate"/>
        </w:r>
        <w:r>
          <w:rPr>
            <w:noProof/>
            <w:webHidden/>
          </w:rPr>
          <w:t>43</w:t>
        </w:r>
        <w:r>
          <w:rPr>
            <w:noProof/>
            <w:webHidden/>
          </w:rPr>
          <w:fldChar w:fldCharType="end"/>
        </w:r>
      </w:hyperlink>
    </w:p>
    <w:p w14:paraId="67989571" w14:textId="77777777" w:rsidR="00D96336" w:rsidRDefault="00D96336">
      <w:pPr>
        <w:pStyle w:val="TM2"/>
        <w:rPr>
          <w:rFonts w:asciiTheme="minorHAnsi" w:eastAsiaTheme="minorEastAsia" w:hAnsiTheme="minorHAnsi" w:cstheme="minorBidi"/>
          <w:b w:val="0"/>
          <w:bCs w:val="0"/>
          <w:szCs w:val="22"/>
        </w:rPr>
      </w:pPr>
      <w:hyperlink w:anchor="_Toc523327703" w:history="1">
        <w:r w:rsidRPr="0050761E">
          <w:rPr>
            <w:rStyle w:val="Lienhypertexte"/>
          </w:rPr>
          <w:t>4. Assurer un pilotage efficient de la santé de ces populations à tous les niveaux</w:t>
        </w:r>
        <w:r>
          <w:rPr>
            <w:webHidden/>
          </w:rPr>
          <w:tab/>
        </w:r>
        <w:r>
          <w:rPr>
            <w:webHidden/>
          </w:rPr>
          <w:fldChar w:fldCharType="begin"/>
        </w:r>
        <w:r>
          <w:rPr>
            <w:webHidden/>
          </w:rPr>
          <w:instrText xml:space="preserve"> PAGEREF _Toc523327703 \h </w:instrText>
        </w:r>
        <w:r>
          <w:rPr>
            <w:webHidden/>
          </w:rPr>
        </w:r>
        <w:r>
          <w:rPr>
            <w:webHidden/>
          </w:rPr>
          <w:fldChar w:fldCharType="separate"/>
        </w:r>
        <w:r>
          <w:rPr>
            <w:webHidden/>
          </w:rPr>
          <w:t>45</w:t>
        </w:r>
        <w:r>
          <w:rPr>
            <w:webHidden/>
          </w:rPr>
          <w:fldChar w:fldCharType="end"/>
        </w:r>
      </w:hyperlink>
    </w:p>
    <w:p w14:paraId="63A9FC18" w14:textId="77777777" w:rsidR="00D96336" w:rsidRDefault="00D96336">
      <w:pPr>
        <w:pStyle w:val="TM3"/>
        <w:rPr>
          <w:rFonts w:asciiTheme="minorHAnsi" w:eastAsiaTheme="minorEastAsia" w:hAnsiTheme="minorHAnsi" w:cstheme="minorBidi"/>
          <w:noProof/>
          <w:szCs w:val="22"/>
        </w:rPr>
      </w:pPr>
      <w:hyperlink w:anchor="_Toc523327704" w:history="1">
        <w:r w:rsidRPr="0050761E">
          <w:rPr>
            <w:rStyle w:val="Lienhypertexte"/>
            <w:noProof/>
          </w:rPr>
          <w:t>4.1. Fixer des responsabilités et des obligations transparentes</w:t>
        </w:r>
        <w:r>
          <w:rPr>
            <w:noProof/>
            <w:webHidden/>
          </w:rPr>
          <w:tab/>
        </w:r>
        <w:r>
          <w:rPr>
            <w:noProof/>
            <w:webHidden/>
          </w:rPr>
          <w:fldChar w:fldCharType="begin"/>
        </w:r>
        <w:r>
          <w:rPr>
            <w:noProof/>
            <w:webHidden/>
          </w:rPr>
          <w:instrText xml:space="preserve"> PAGEREF _Toc523327704 \h </w:instrText>
        </w:r>
        <w:r>
          <w:rPr>
            <w:noProof/>
            <w:webHidden/>
          </w:rPr>
        </w:r>
        <w:r>
          <w:rPr>
            <w:noProof/>
            <w:webHidden/>
          </w:rPr>
          <w:fldChar w:fldCharType="separate"/>
        </w:r>
        <w:r>
          <w:rPr>
            <w:noProof/>
            <w:webHidden/>
          </w:rPr>
          <w:t>45</w:t>
        </w:r>
        <w:r>
          <w:rPr>
            <w:noProof/>
            <w:webHidden/>
          </w:rPr>
          <w:fldChar w:fldCharType="end"/>
        </w:r>
      </w:hyperlink>
    </w:p>
    <w:p w14:paraId="0B392214" w14:textId="77777777" w:rsidR="00D96336" w:rsidRDefault="00D96336">
      <w:pPr>
        <w:pStyle w:val="TM4"/>
        <w:rPr>
          <w:rFonts w:asciiTheme="minorHAnsi" w:eastAsiaTheme="minorEastAsia" w:hAnsiTheme="minorHAnsi" w:cstheme="minorBidi"/>
          <w:i w:val="0"/>
          <w:color w:val="auto"/>
          <w:lang w:eastAsia="fr-FR"/>
        </w:rPr>
      </w:pPr>
      <w:hyperlink w:anchor="_Toc523327705" w:history="1">
        <w:r w:rsidRPr="0050761E">
          <w:rPr>
            <w:rStyle w:val="Lienhypertexte"/>
          </w:rPr>
          <w:t>4.1.1. Pour les établissements et services accueillant des personnes en situation de précarité et de handicap :</w:t>
        </w:r>
        <w:r>
          <w:rPr>
            <w:webHidden/>
          </w:rPr>
          <w:tab/>
        </w:r>
        <w:r>
          <w:rPr>
            <w:webHidden/>
          </w:rPr>
          <w:fldChar w:fldCharType="begin"/>
        </w:r>
        <w:r>
          <w:rPr>
            <w:webHidden/>
          </w:rPr>
          <w:instrText xml:space="preserve"> PAGEREF _Toc523327705 \h </w:instrText>
        </w:r>
        <w:r>
          <w:rPr>
            <w:webHidden/>
          </w:rPr>
        </w:r>
        <w:r>
          <w:rPr>
            <w:webHidden/>
          </w:rPr>
          <w:fldChar w:fldCharType="separate"/>
        </w:r>
        <w:r>
          <w:rPr>
            <w:webHidden/>
          </w:rPr>
          <w:t>45</w:t>
        </w:r>
        <w:r>
          <w:rPr>
            <w:webHidden/>
          </w:rPr>
          <w:fldChar w:fldCharType="end"/>
        </w:r>
      </w:hyperlink>
    </w:p>
    <w:p w14:paraId="29DD0853" w14:textId="77777777" w:rsidR="00D96336" w:rsidRDefault="00D96336">
      <w:pPr>
        <w:pStyle w:val="TM4"/>
        <w:rPr>
          <w:rFonts w:asciiTheme="minorHAnsi" w:eastAsiaTheme="minorEastAsia" w:hAnsiTheme="minorHAnsi" w:cstheme="minorBidi"/>
          <w:i w:val="0"/>
          <w:color w:val="auto"/>
          <w:lang w:eastAsia="fr-FR"/>
        </w:rPr>
      </w:pPr>
      <w:hyperlink w:anchor="_Toc523327706" w:history="1">
        <w:r w:rsidRPr="0050761E">
          <w:rPr>
            <w:rStyle w:val="Lienhypertexte"/>
          </w:rPr>
          <w:t>4.1.2. Au niveau régional</w:t>
        </w:r>
        <w:r>
          <w:rPr>
            <w:webHidden/>
          </w:rPr>
          <w:tab/>
        </w:r>
        <w:r>
          <w:rPr>
            <w:webHidden/>
          </w:rPr>
          <w:fldChar w:fldCharType="begin"/>
        </w:r>
        <w:r>
          <w:rPr>
            <w:webHidden/>
          </w:rPr>
          <w:instrText xml:space="preserve"> PAGEREF _Toc523327706 \h </w:instrText>
        </w:r>
        <w:r>
          <w:rPr>
            <w:webHidden/>
          </w:rPr>
        </w:r>
        <w:r>
          <w:rPr>
            <w:webHidden/>
          </w:rPr>
          <w:fldChar w:fldCharType="separate"/>
        </w:r>
        <w:r>
          <w:rPr>
            <w:webHidden/>
          </w:rPr>
          <w:t>45</w:t>
        </w:r>
        <w:r>
          <w:rPr>
            <w:webHidden/>
          </w:rPr>
          <w:fldChar w:fldCharType="end"/>
        </w:r>
      </w:hyperlink>
    </w:p>
    <w:p w14:paraId="1F950E54" w14:textId="77777777" w:rsidR="00D96336" w:rsidRDefault="00D96336">
      <w:pPr>
        <w:pStyle w:val="TM4"/>
        <w:rPr>
          <w:rFonts w:asciiTheme="minorHAnsi" w:eastAsiaTheme="minorEastAsia" w:hAnsiTheme="minorHAnsi" w:cstheme="minorBidi"/>
          <w:i w:val="0"/>
          <w:color w:val="auto"/>
          <w:lang w:eastAsia="fr-FR"/>
        </w:rPr>
      </w:pPr>
      <w:hyperlink w:anchor="_Toc523327707" w:history="1">
        <w:r w:rsidRPr="0050761E">
          <w:rPr>
            <w:rStyle w:val="Lienhypertexte"/>
          </w:rPr>
          <w:t>4.1.3. Au niveau national</w:t>
        </w:r>
        <w:r>
          <w:rPr>
            <w:webHidden/>
          </w:rPr>
          <w:tab/>
        </w:r>
        <w:r>
          <w:rPr>
            <w:webHidden/>
          </w:rPr>
          <w:fldChar w:fldCharType="begin"/>
        </w:r>
        <w:r>
          <w:rPr>
            <w:webHidden/>
          </w:rPr>
          <w:instrText xml:space="preserve"> PAGEREF _Toc523327707 \h </w:instrText>
        </w:r>
        <w:r>
          <w:rPr>
            <w:webHidden/>
          </w:rPr>
        </w:r>
        <w:r>
          <w:rPr>
            <w:webHidden/>
          </w:rPr>
          <w:fldChar w:fldCharType="separate"/>
        </w:r>
        <w:r>
          <w:rPr>
            <w:webHidden/>
          </w:rPr>
          <w:t>45</w:t>
        </w:r>
        <w:r>
          <w:rPr>
            <w:webHidden/>
          </w:rPr>
          <w:fldChar w:fldCharType="end"/>
        </w:r>
      </w:hyperlink>
    </w:p>
    <w:p w14:paraId="34536C81" w14:textId="77777777" w:rsidR="00D96336" w:rsidRDefault="00D96336">
      <w:pPr>
        <w:pStyle w:val="TM3"/>
        <w:rPr>
          <w:rFonts w:asciiTheme="minorHAnsi" w:eastAsiaTheme="minorEastAsia" w:hAnsiTheme="minorHAnsi" w:cstheme="minorBidi"/>
          <w:noProof/>
          <w:szCs w:val="22"/>
        </w:rPr>
      </w:pPr>
      <w:hyperlink w:anchor="_Toc523327708" w:history="1">
        <w:r w:rsidRPr="0050761E">
          <w:rPr>
            <w:rStyle w:val="Lienhypertexte"/>
            <w:noProof/>
          </w:rPr>
          <w:t>4.2. Instaurer une démocratie sanitaire effective</w:t>
        </w:r>
        <w:r>
          <w:rPr>
            <w:noProof/>
            <w:webHidden/>
          </w:rPr>
          <w:tab/>
        </w:r>
        <w:r>
          <w:rPr>
            <w:noProof/>
            <w:webHidden/>
          </w:rPr>
          <w:fldChar w:fldCharType="begin"/>
        </w:r>
        <w:r>
          <w:rPr>
            <w:noProof/>
            <w:webHidden/>
          </w:rPr>
          <w:instrText xml:space="preserve"> PAGEREF _Toc523327708 \h </w:instrText>
        </w:r>
        <w:r>
          <w:rPr>
            <w:noProof/>
            <w:webHidden/>
          </w:rPr>
        </w:r>
        <w:r>
          <w:rPr>
            <w:noProof/>
            <w:webHidden/>
          </w:rPr>
          <w:fldChar w:fldCharType="separate"/>
        </w:r>
        <w:r>
          <w:rPr>
            <w:noProof/>
            <w:webHidden/>
          </w:rPr>
          <w:t>46</w:t>
        </w:r>
        <w:r>
          <w:rPr>
            <w:noProof/>
            <w:webHidden/>
          </w:rPr>
          <w:fldChar w:fldCharType="end"/>
        </w:r>
      </w:hyperlink>
    </w:p>
    <w:p w14:paraId="7F766F58" w14:textId="77777777" w:rsidR="00D96336" w:rsidRDefault="00D96336">
      <w:pPr>
        <w:pStyle w:val="TM4"/>
        <w:rPr>
          <w:rFonts w:asciiTheme="minorHAnsi" w:eastAsiaTheme="minorEastAsia" w:hAnsiTheme="minorHAnsi" w:cstheme="minorBidi"/>
          <w:i w:val="0"/>
          <w:color w:val="auto"/>
          <w:lang w:eastAsia="fr-FR"/>
        </w:rPr>
      </w:pPr>
      <w:hyperlink w:anchor="_Toc523327709" w:history="1">
        <w:r w:rsidRPr="0050761E">
          <w:rPr>
            <w:rStyle w:val="Lienhypertexte"/>
          </w:rPr>
          <w:t>4.2.1. Développer les mesures de satisfaction</w:t>
        </w:r>
        <w:r>
          <w:rPr>
            <w:webHidden/>
          </w:rPr>
          <w:tab/>
        </w:r>
        <w:r>
          <w:rPr>
            <w:webHidden/>
          </w:rPr>
          <w:fldChar w:fldCharType="begin"/>
        </w:r>
        <w:r>
          <w:rPr>
            <w:webHidden/>
          </w:rPr>
          <w:instrText xml:space="preserve"> PAGEREF _Toc523327709 \h </w:instrText>
        </w:r>
        <w:r>
          <w:rPr>
            <w:webHidden/>
          </w:rPr>
        </w:r>
        <w:r>
          <w:rPr>
            <w:webHidden/>
          </w:rPr>
          <w:fldChar w:fldCharType="separate"/>
        </w:r>
        <w:r>
          <w:rPr>
            <w:webHidden/>
          </w:rPr>
          <w:t>46</w:t>
        </w:r>
        <w:r>
          <w:rPr>
            <w:webHidden/>
          </w:rPr>
          <w:fldChar w:fldCharType="end"/>
        </w:r>
      </w:hyperlink>
    </w:p>
    <w:p w14:paraId="7D9A850A" w14:textId="77777777" w:rsidR="00D96336" w:rsidRDefault="00D96336">
      <w:pPr>
        <w:pStyle w:val="TM4"/>
        <w:rPr>
          <w:rFonts w:asciiTheme="minorHAnsi" w:eastAsiaTheme="minorEastAsia" w:hAnsiTheme="minorHAnsi" w:cstheme="minorBidi"/>
          <w:i w:val="0"/>
          <w:color w:val="auto"/>
          <w:lang w:eastAsia="fr-FR"/>
        </w:rPr>
      </w:pPr>
      <w:hyperlink w:anchor="_Toc523327710" w:history="1">
        <w:r w:rsidRPr="0050761E">
          <w:rPr>
            <w:rStyle w:val="Lienhypertexte"/>
          </w:rPr>
          <w:t>4.2.2. Rendre les patients acteurs de leur santé</w:t>
        </w:r>
        <w:r>
          <w:rPr>
            <w:webHidden/>
          </w:rPr>
          <w:tab/>
        </w:r>
        <w:r>
          <w:rPr>
            <w:webHidden/>
          </w:rPr>
          <w:fldChar w:fldCharType="begin"/>
        </w:r>
        <w:r>
          <w:rPr>
            <w:webHidden/>
          </w:rPr>
          <w:instrText xml:space="preserve"> PAGEREF _Toc523327710 \h </w:instrText>
        </w:r>
        <w:r>
          <w:rPr>
            <w:webHidden/>
          </w:rPr>
        </w:r>
        <w:r>
          <w:rPr>
            <w:webHidden/>
          </w:rPr>
          <w:fldChar w:fldCharType="separate"/>
        </w:r>
        <w:r>
          <w:rPr>
            <w:webHidden/>
          </w:rPr>
          <w:t>46</w:t>
        </w:r>
        <w:r>
          <w:rPr>
            <w:webHidden/>
          </w:rPr>
          <w:fldChar w:fldCharType="end"/>
        </w:r>
      </w:hyperlink>
    </w:p>
    <w:p w14:paraId="2BEEDD6D" w14:textId="77777777" w:rsidR="00D96336" w:rsidRDefault="00D96336">
      <w:pPr>
        <w:pStyle w:val="TM4"/>
        <w:rPr>
          <w:rFonts w:asciiTheme="minorHAnsi" w:eastAsiaTheme="minorEastAsia" w:hAnsiTheme="minorHAnsi" w:cstheme="minorBidi"/>
          <w:i w:val="0"/>
          <w:color w:val="auto"/>
          <w:lang w:eastAsia="fr-FR"/>
        </w:rPr>
      </w:pPr>
      <w:hyperlink w:anchor="_Toc523327711" w:history="1">
        <w:r w:rsidRPr="0050761E">
          <w:rPr>
            <w:rStyle w:val="Lienhypertexte"/>
          </w:rPr>
          <w:t>4.2.3. Consulter et impliquer les associations</w:t>
        </w:r>
        <w:r>
          <w:rPr>
            <w:webHidden/>
          </w:rPr>
          <w:tab/>
        </w:r>
        <w:r>
          <w:rPr>
            <w:webHidden/>
          </w:rPr>
          <w:fldChar w:fldCharType="begin"/>
        </w:r>
        <w:r>
          <w:rPr>
            <w:webHidden/>
          </w:rPr>
          <w:instrText xml:space="preserve"> PAGEREF _Toc523327711 \h </w:instrText>
        </w:r>
        <w:r>
          <w:rPr>
            <w:webHidden/>
          </w:rPr>
        </w:r>
        <w:r>
          <w:rPr>
            <w:webHidden/>
          </w:rPr>
          <w:fldChar w:fldCharType="separate"/>
        </w:r>
        <w:r>
          <w:rPr>
            <w:webHidden/>
          </w:rPr>
          <w:t>46</w:t>
        </w:r>
        <w:r>
          <w:rPr>
            <w:webHidden/>
          </w:rPr>
          <w:fldChar w:fldCharType="end"/>
        </w:r>
      </w:hyperlink>
    </w:p>
    <w:p w14:paraId="05B15DC4" w14:textId="77777777" w:rsidR="00D96336" w:rsidRDefault="00D96336">
      <w:pPr>
        <w:pStyle w:val="TM3"/>
        <w:rPr>
          <w:rFonts w:asciiTheme="minorHAnsi" w:eastAsiaTheme="minorEastAsia" w:hAnsiTheme="minorHAnsi" w:cstheme="minorBidi"/>
          <w:noProof/>
          <w:szCs w:val="22"/>
        </w:rPr>
      </w:pPr>
      <w:hyperlink w:anchor="_Toc523327712" w:history="1">
        <w:r w:rsidRPr="0050761E">
          <w:rPr>
            <w:rStyle w:val="Lienhypertexte"/>
            <w:noProof/>
          </w:rPr>
          <w:t>4.3. Assurer un suivi et une évaluation coordonnée</w:t>
        </w:r>
        <w:r>
          <w:rPr>
            <w:noProof/>
            <w:webHidden/>
          </w:rPr>
          <w:tab/>
        </w:r>
        <w:r>
          <w:rPr>
            <w:noProof/>
            <w:webHidden/>
          </w:rPr>
          <w:fldChar w:fldCharType="begin"/>
        </w:r>
        <w:r>
          <w:rPr>
            <w:noProof/>
            <w:webHidden/>
          </w:rPr>
          <w:instrText xml:space="preserve"> PAGEREF _Toc523327712 \h </w:instrText>
        </w:r>
        <w:r>
          <w:rPr>
            <w:noProof/>
            <w:webHidden/>
          </w:rPr>
        </w:r>
        <w:r>
          <w:rPr>
            <w:noProof/>
            <w:webHidden/>
          </w:rPr>
          <w:fldChar w:fldCharType="separate"/>
        </w:r>
        <w:r>
          <w:rPr>
            <w:noProof/>
            <w:webHidden/>
          </w:rPr>
          <w:t>47</w:t>
        </w:r>
        <w:r>
          <w:rPr>
            <w:noProof/>
            <w:webHidden/>
          </w:rPr>
          <w:fldChar w:fldCharType="end"/>
        </w:r>
      </w:hyperlink>
    </w:p>
    <w:p w14:paraId="0066E067" w14:textId="77777777" w:rsidR="00D96336" w:rsidRDefault="00D96336">
      <w:pPr>
        <w:pStyle w:val="TM4"/>
        <w:rPr>
          <w:rFonts w:asciiTheme="minorHAnsi" w:eastAsiaTheme="minorEastAsia" w:hAnsiTheme="minorHAnsi" w:cstheme="minorBidi"/>
          <w:i w:val="0"/>
          <w:color w:val="auto"/>
          <w:lang w:eastAsia="fr-FR"/>
        </w:rPr>
      </w:pPr>
      <w:hyperlink w:anchor="_Toc523327713" w:history="1">
        <w:r w:rsidRPr="0050761E">
          <w:rPr>
            <w:rStyle w:val="Lienhypertexte"/>
          </w:rPr>
          <w:t>4.3.1. Un observatoire de la santé des personnes en situation de handicap</w:t>
        </w:r>
        <w:r>
          <w:rPr>
            <w:webHidden/>
          </w:rPr>
          <w:tab/>
        </w:r>
        <w:r>
          <w:rPr>
            <w:webHidden/>
          </w:rPr>
          <w:fldChar w:fldCharType="begin"/>
        </w:r>
        <w:r>
          <w:rPr>
            <w:webHidden/>
          </w:rPr>
          <w:instrText xml:space="preserve"> PAGEREF _Toc523327713 \h </w:instrText>
        </w:r>
        <w:r>
          <w:rPr>
            <w:webHidden/>
          </w:rPr>
        </w:r>
        <w:r>
          <w:rPr>
            <w:webHidden/>
          </w:rPr>
          <w:fldChar w:fldCharType="separate"/>
        </w:r>
        <w:r>
          <w:rPr>
            <w:webHidden/>
          </w:rPr>
          <w:t>47</w:t>
        </w:r>
        <w:r>
          <w:rPr>
            <w:webHidden/>
          </w:rPr>
          <w:fldChar w:fldCharType="end"/>
        </w:r>
      </w:hyperlink>
    </w:p>
    <w:p w14:paraId="05BB8BBD" w14:textId="77777777" w:rsidR="00D96336" w:rsidRDefault="00D96336">
      <w:pPr>
        <w:pStyle w:val="TM4"/>
        <w:rPr>
          <w:rFonts w:asciiTheme="minorHAnsi" w:eastAsiaTheme="minorEastAsia" w:hAnsiTheme="minorHAnsi" w:cstheme="minorBidi"/>
          <w:i w:val="0"/>
          <w:color w:val="auto"/>
          <w:lang w:eastAsia="fr-FR"/>
        </w:rPr>
      </w:pPr>
      <w:hyperlink w:anchor="_Toc523327714" w:history="1">
        <w:r w:rsidRPr="0050761E">
          <w:rPr>
            <w:rStyle w:val="Lienhypertexte"/>
          </w:rPr>
          <w:t>4.3.2. Développer un observatoire de l’accès au droit et à la santé des migrants précaires</w:t>
        </w:r>
        <w:r>
          <w:rPr>
            <w:webHidden/>
          </w:rPr>
          <w:tab/>
        </w:r>
        <w:r>
          <w:rPr>
            <w:webHidden/>
          </w:rPr>
          <w:fldChar w:fldCharType="begin"/>
        </w:r>
        <w:r>
          <w:rPr>
            <w:webHidden/>
          </w:rPr>
          <w:instrText xml:space="preserve"> PAGEREF _Toc523327714 \h </w:instrText>
        </w:r>
        <w:r>
          <w:rPr>
            <w:webHidden/>
          </w:rPr>
        </w:r>
        <w:r>
          <w:rPr>
            <w:webHidden/>
          </w:rPr>
          <w:fldChar w:fldCharType="separate"/>
        </w:r>
        <w:r>
          <w:rPr>
            <w:webHidden/>
          </w:rPr>
          <w:t>47</w:t>
        </w:r>
        <w:r>
          <w:rPr>
            <w:webHidden/>
          </w:rPr>
          <w:fldChar w:fldCharType="end"/>
        </w:r>
      </w:hyperlink>
    </w:p>
    <w:p w14:paraId="06EC8D9C" w14:textId="77777777" w:rsidR="00D96336" w:rsidRDefault="00D96336">
      <w:pPr>
        <w:pStyle w:val="TM1"/>
        <w:rPr>
          <w:rFonts w:asciiTheme="minorHAnsi" w:eastAsiaTheme="minorEastAsia" w:hAnsiTheme="minorHAnsi" w:cstheme="minorBidi"/>
          <w:b w:val="0"/>
          <w:bCs w:val="0"/>
          <w:iCs w:val="0"/>
          <w:caps w:val="0"/>
          <w:sz w:val="22"/>
          <w:szCs w:val="22"/>
        </w:rPr>
      </w:pPr>
      <w:hyperlink w:anchor="_Toc523327715" w:history="1">
        <w:r w:rsidRPr="0050761E">
          <w:rPr>
            <w:rStyle w:val="Lienhypertexte"/>
          </w:rPr>
          <w:t>Conclusion</w:t>
        </w:r>
        <w:r>
          <w:rPr>
            <w:webHidden/>
          </w:rPr>
          <w:tab/>
        </w:r>
        <w:r>
          <w:rPr>
            <w:webHidden/>
          </w:rPr>
          <w:fldChar w:fldCharType="begin"/>
        </w:r>
        <w:r>
          <w:rPr>
            <w:webHidden/>
          </w:rPr>
          <w:instrText xml:space="preserve"> PAGEREF _Toc523327715 \h </w:instrText>
        </w:r>
        <w:r>
          <w:rPr>
            <w:webHidden/>
          </w:rPr>
        </w:r>
        <w:r>
          <w:rPr>
            <w:webHidden/>
          </w:rPr>
          <w:fldChar w:fldCharType="separate"/>
        </w:r>
        <w:r>
          <w:rPr>
            <w:webHidden/>
          </w:rPr>
          <w:t>49</w:t>
        </w:r>
        <w:r>
          <w:rPr>
            <w:webHidden/>
          </w:rPr>
          <w:fldChar w:fldCharType="end"/>
        </w:r>
      </w:hyperlink>
    </w:p>
    <w:p w14:paraId="3C014125" w14:textId="77777777" w:rsidR="00D96336" w:rsidRDefault="00D96336">
      <w:pPr>
        <w:pStyle w:val="TM1"/>
        <w:rPr>
          <w:rFonts w:asciiTheme="minorHAnsi" w:eastAsiaTheme="minorEastAsia" w:hAnsiTheme="minorHAnsi" w:cstheme="minorBidi"/>
          <w:b w:val="0"/>
          <w:bCs w:val="0"/>
          <w:iCs w:val="0"/>
          <w:caps w:val="0"/>
          <w:sz w:val="22"/>
          <w:szCs w:val="22"/>
        </w:rPr>
      </w:pPr>
      <w:hyperlink w:anchor="_Toc523327716" w:history="1">
        <w:r w:rsidRPr="0050761E">
          <w:rPr>
            <w:rStyle w:val="Lienhypertexte"/>
          </w:rPr>
          <w:t>PARTIE III. Annexes</w:t>
        </w:r>
        <w:r>
          <w:rPr>
            <w:webHidden/>
          </w:rPr>
          <w:tab/>
        </w:r>
        <w:r>
          <w:rPr>
            <w:webHidden/>
          </w:rPr>
          <w:fldChar w:fldCharType="begin"/>
        </w:r>
        <w:r>
          <w:rPr>
            <w:webHidden/>
          </w:rPr>
          <w:instrText xml:space="preserve"> PAGEREF _Toc523327716 \h </w:instrText>
        </w:r>
        <w:r>
          <w:rPr>
            <w:webHidden/>
          </w:rPr>
        </w:r>
        <w:r>
          <w:rPr>
            <w:webHidden/>
          </w:rPr>
          <w:fldChar w:fldCharType="separate"/>
        </w:r>
        <w:r>
          <w:rPr>
            <w:webHidden/>
          </w:rPr>
          <w:t>50</w:t>
        </w:r>
        <w:r>
          <w:rPr>
            <w:webHidden/>
          </w:rPr>
          <w:fldChar w:fldCharType="end"/>
        </w:r>
      </w:hyperlink>
    </w:p>
    <w:p w14:paraId="172D0733" w14:textId="77777777" w:rsidR="00D96336" w:rsidRDefault="00D96336">
      <w:pPr>
        <w:pStyle w:val="TM2"/>
        <w:rPr>
          <w:rFonts w:asciiTheme="minorHAnsi" w:eastAsiaTheme="minorEastAsia" w:hAnsiTheme="minorHAnsi" w:cstheme="minorBidi"/>
          <w:b w:val="0"/>
          <w:bCs w:val="0"/>
          <w:szCs w:val="22"/>
        </w:rPr>
      </w:pPr>
      <w:hyperlink w:anchor="_Toc523327717" w:history="1">
        <w:r w:rsidRPr="0050761E">
          <w:rPr>
            <w:rStyle w:val="Lienhypertexte"/>
            <w14:scene3d>
              <w14:camera w14:prst="orthographicFront"/>
              <w14:lightRig w14:rig="threePt" w14:dir="t">
                <w14:rot w14:lat="0" w14:lon="0" w14:rev="0"/>
              </w14:lightRig>
            </w14:scene3d>
          </w:rPr>
          <w:t>Annexe 1.</w:t>
        </w:r>
        <w:r w:rsidRPr="0050761E">
          <w:rPr>
            <w:rStyle w:val="Lienhypertexte"/>
          </w:rPr>
          <w:t xml:space="preserve"> Liste des propositions détaillées du rapport</w:t>
        </w:r>
        <w:r>
          <w:rPr>
            <w:webHidden/>
          </w:rPr>
          <w:tab/>
        </w:r>
        <w:r>
          <w:rPr>
            <w:webHidden/>
          </w:rPr>
          <w:fldChar w:fldCharType="begin"/>
        </w:r>
        <w:r>
          <w:rPr>
            <w:webHidden/>
          </w:rPr>
          <w:instrText xml:space="preserve"> PAGEREF _Toc523327717 \h </w:instrText>
        </w:r>
        <w:r>
          <w:rPr>
            <w:webHidden/>
          </w:rPr>
        </w:r>
        <w:r>
          <w:rPr>
            <w:webHidden/>
          </w:rPr>
          <w:fldChar w:fldCharType="separate"/>
        </w:r>
        <w:r>
          <w:rPr>
            <w:webHidden/>
          </w:rPr>
          <w:t>51</w:t>
        </w:r>
        <w:r>
          <w:rPr>
            <w:webHidden/>
          </w:rPr>
          <w:fldChar w:fldCharType="end"/>
        </w:r>
      </w:hyperlink>
    </w:p>
    <w:p w14:paraId="3579F955" w14:textId="77777777" w:rsidR="00D96336" w:rsidRDefault="00D96336">
      <w:pPr>
        <w:pStyle w:val="TM2"/>
        <w:rPr>
          <w:rFonts w:asciiTheme="minorHAnsi" w:eastAsiaTheme="minorEastAsia" w:hAnsiTheme="minorHAnsi" w:cstheme="minorBidi"/>
          <w:b w:val="0"/>
          <w:bCs w:val="0"/>
          <w:szCs w:val="22"/>
        </w:rPr>
      </w:pPr>
      <w:hyperlink w:anchor="_Toc523327718" w:history="1">
        <w:r w:rsidRPr="0050761E">
          <w:rPr>
            <w:rStyle w:val="Lienhypertexte"/>
            <w14:scene3d>
              <w14:camera w14:prst="orthographicFront"/>
              <w14:lightRig w14:rig="threePt" w14:dir="t">
                <w14:rot w14:lat="0" w14:lon="0" w14:rev="0"/>
              </w14:lightRig>
            </w14:scene3d>
          </w:rPr>
          <w:t>Annexe 2.</w:t>
        </w:r>
        <w:r w:rsidRPr="0050761E">
          <w:rPr>
            <w:rStyle w:val="Lienhypertexte"/>
          </w:rPr>
          <w:t xml:space="preserve"> Liste des personnes rencontrées</w:t>
        </w:r>
        <w:r>
          <w:rPr>
            <w:webHidden/>
          </w:rPr>
          <w:tab/>
        </w:r>
        <w:r>
          <w:rPr>
            <w:webHidden/>
          </w:rPr>
          <w:fldChar w:fldCharType="begin"/>
        </w:r>
        <w:r>
          <w:rPr>
            <w:webHidden/>
          </w:rPr>
          <w:instrText xml:space="preserve"> PAGEREF _Toc523327718 \h </w:instrText>
        </w:r>
        <w:r>
          <w:rPr>
            <w:webHidden/>
          </w:rPr>
        </w:r>
        <w:r>
          <w:rPr>
            <w:webHidden/>
          </w:rPr>
          <w:fldChar w:fldCharType="separate"/>
        </w:r>
        <w:r>
          <w:rPr>
            <w:webHidden/>
          </w:rPr>
          <w:t>53</w:t>
        </w:r>
        <w:r>
          <w:rPr>
            <w:webHidden/>
          </w:rPr>
          <w:fldChar w:fldCharType="end"/>
        </w:r>
      </w:hyperlink>
    </w:p>
    <w:p w14:paraId="235F0880" w14:textId="77777777" w:rsidR="00D96336" w:rsidRDefault="00D96336">
      <w:pPr>
        <w:pStyle w:val="TM2"/>
        <w:rPr>
          <w:rFonts w:asciiTheme="minorHAnsi" w:eastAsiaTheme="minorEastAsia" w:hAnsiTheme="minorHAnsi" w:cstheme="minorBidi"/>
          <w:b w:val="0"/>
          <w:bCs w:val="0"/>
          <w:szCs w:val="22"/>
        </w:rPr>
      </w:pPr>
      <w:hyperlink w:anchor="_Toc523327719" w:history="1">
        <w:r w:rsidRPr="0050761E">
          <w:rPr>
            <w:rStyle w:val="Lienhypertexte"/>
            <w14:scene3d>
              <w14:camera w14:prst="orthographicFront"/>
              <w14:lightRig w14:rig="threePt" w14:dir="t">
                <w14:rot w14:lat="0" w14:lon="0" w14:rev="0"/>
              </w14:lightRig>
            </w14:scene3d>
          </w:rPr>
          <w:t>Annexe 3.</w:t>
        </w:r>
        <w:r w:rsidRPr="0050761E">
          <w:rPr>
            <w:rStyle w:val="Lienhypertexte"/>
          </w:rPr>
          <w:t xml:space="preserve"> Bibliographie</w:t>
        </w:r>
        <w:r>
          <w:rPr>
            <w:webHidden/>
          </w:rPr>
          <w:tab/>
        </w:r>
        <w:r>
          <w:rPr>
            <w:webHidden/>
          </w:rPr>
          <w:fldChar w:fldCharType="begin"/>
        </w:r>
        <w:r>
          <w:rPr>
            <w:webHidden/>
          </w:rPr>
          <w:instrText xml:space="preserve"> PAGEREF _Toc523327719 \h </w:instrText>
        </w:r>
        <w:r>
          <w:rPr>
            <w:webHidden/>
          </w:rPr>
        </w:r>
        <w:r>
          <w:rPr>
            <w:webHidden/>
          </w:rPr>
          <w:fldChar w:fldCharType="separate"/>
        </w:r>
        <w:r>
          <w:rPr>
            <w:webHidden/>
          </w:rPr>
          <w:t>59</w:t>
        </w:r>
        <w:r>
          <w:rPr>
            <w:webHidden/>
          </w:rPr>
          <w:fldChar w:fldCharType="end"/>
        </w:r>
      </w:hyperlink>
    </w:p>
    <w:p w14:paraId="0FD5C914" w14:textId="77777777" w:rsidR="00D96336" w:rsidRDefault="00D96336">
      <w:pPr>
        <w:pStyle w:val="TM2"/>
        <w:rPr>
          <w:rFonts w:asciiTheme="minorHAnsi" w:eastAsiaTheme="minorEastAsia" w:hAnsiTheme="minorHAnsi" w:cstheme="minorBidi"/>
          <w:b w:val="0"/>
          <w:bCs w:val="0"/>
          <w:szCs w:val="22"/>
        </w:rPr>
      </w:pPr>
      <w:hyperlink w:anchor="_Toc523327720" w:history="1">
        <w:r w:rsidRPr="0050761E">
          <w:rPr>
            <w:rStyle w:val="Lienhypertexte"/>
            <w14:scene3d>
              <w14:camera w14:prst="orthographicFront"/>
              <w14:lightRig w14:rig="threePt" w14:dir="t">
                <w14:rot w14:lat="0" w14:lon="0" w14:rev="0"/>
              </w14:lightRig>
            </w14:scene3d>
          </w:rPr>
          <w:t>Annexe 4.</w:t>
        </w:r>
        <w:r w:rsidRPr="0050761E">
          <w:rPr>
            <w:rStyle w:val="Lienhypertexte"/>
          </w:rPr>
          <w:t xml:space="preserve"> Le champ du handicap</w:t>
        </w:r>
        <w:r>
          <w:rPr>
            <w:webHidden/>
          </w:rPr>
          <w:tab/>
        </w:r>
        <w:r>
          <w:rPr>
            <w:webHidden/>
          </w:rPr>
          <w:fldChar w:fldCharType="begin"/>
        </w:r>
        <w:r>
          <w:rPr>
            <w:webHidden/>
          </w:rPr>
          <w:instrText xml:space="preserve"> PAGEREF _Toc523327720 \h </w:instrText>
        </w:r>
        <w:r>
          <w:rPr>
            <w:webHidden/>
          </w:rPr>
        </w:r>
        <w:r>
          <w:rPr>
            <w:webHidden/>
          </w:rPr>
          <w:fldChar w:fldCharType="separate"/>
        </w:r>
        <w:r>
          <w:rPr>
            <w:webHidden/>
          </w:rPr>
          <w:t>62</w:t>
        </w:r>
        <w:r>
          <w:rPr>
            <w:webHidden/>
          </w:rPr>
          <w:fldChar w:fldCharType="end"/>
        </w:r>
      </w:hyperlink>
    </w:p>
    <w:p w14:paraId="178FCF0C" w14:textId="77777777" w:rsidR="00D96336" w:rsidRDefault="00D96336">
      <w:pPr>
        <w:pStyle w:val="TM2"/>
        <w:rPr>
          <w:rFonts w:asciiTheme="minorHAnsi" w:eastAsiaTheme="minorEastAsia" w:hAnsiTheme="minorHAnsi" w:cstheme="minorBidi"/>
          <w:b w:val="0"/>
          <w:bCs w:val="0"/>
          <w:szCs w:val="22"/>
        </w:rPr>
      </w:pPr>
      <w:hyperlink w:anchor="_Toc523327721" w:history="1">
        <w:r w:rsidRPr="0050761E">
          <w:rPr>
            <w:rStyle w:val="Lienhypertexte"/>
            <w14:scene3d>
              <w14:camera w14:prst="orthographicFront"/>
              <w14:lightRig w14:rig="threePt" w14:dir="t">
                <w14:rot w14:lat="0" w14:lon="0" w14:rev="0"/>
              </w14:lightRig>
            </w14:scene3d>
          </w:rPr>
          <w:t>Annexe 5.</w:t>
        </w:r>
        <w:r w:rsidRPr="0050761E">
          <w:rPr>
            <w:rStyle w:val="Lienhypertexte"/>
          </w:rPr>
          <w:t xml:space="preserve"> Synthèse de l’étude IRDES de 2015 sur l’accès aux soins courants et préventifs des personnes en situation de handicap</w:t>
        </w:r>
        <w:r>
          <w:rPr>
            <w:webHidden/>
          </w:rPr>
          <w:tab/>
        </w:r>
        <w:r>
          <w:rPr>
            <w:webHidden/>
          </w:rPr>
          <w:fldChar w:fldCharType="begin"/>
        </w:r>
        <w:r>
          <w:rPr>
            <w:webHidden/>
          </w:rPr>
          <w:instrText xml:space="preserve"> PAGEREF _Toc523327721 \h </w:instrText>
        </w:r>
        <w:r>
          <w:rPr>
            <w:webHidden/>
          </w:rPr>
        </w:r>
        <w:r>
          <w:rPr>
            <w:webHidden/>
          </w:rPr>
          <w:fldChar w:fldCharType="separate"/>
        </w:r>
        <w:r>
          <w:rPr>
            <w:webHidden/>
          </w:rPr>
          <w:t>64</w:t>
        </w:r>
        <w:r>
          <w:rPr>
            <w:webHidden/>
          </w:rPr>
          <w:fldChar w:fldCharType="end"/>
        </w:r>
      </w:hyperlink>
    </w:p>
    <w:p w14:paraId="0306BD7B" w14:textId="77777777" w:rsidR="00D96336" w:rsidRDefault="00D96336">
      <w:pPr>
        <w:pStyle w:val="TM2"/>
        <w:rPr>
          <w:rFonts w:asciiTheme="minorHAnsi" w:eastAsiaTheme="minorEastAsia" w:hAnsiTheme="minorHAnsi" w:cstheme="minorBidi"/>
          <w:b w:val="0"/>
          <w:bCs w:val="0"/>
          <w:szCs w:val="22"/>
        </w:rPr>
      </w:pPr>
      <w:hyperlink w:anchor="_Toc523327722" w:history="1">
        <w:r w:rsidRPr="0050761E">
          <w:rPr>
            <w:rStyle w:val="Lienhypertexte"/>
            <w14:scene3d>
              <w14:camera w14:prst="orthographicFront"/>
              <w14:lightRig w14:rig="threePt" w14:dir="t">
                <w14:rot w14:lat="0" w14:lon="0" w14:rev="0"/>
              </w14:lightRig>
            </w14:scene3d>
          </w:rPr>
          <w:t>Annexe 6.</w:t>
        </w:r>
        <w:r w:rsidRPr="0050761E">
          <w:rPr>
            <w:rStyle w:val="Lienhypertexte"/>
          </w:rPr>
          <w:t xml:space="preserve"> Les dispositifs d’accès à la santé des personnes en situation de précarité et des personnes en situation de handicap</w:t>
        </w:r>
        <w:r>
          <w:rPr>
            <w:webHidden/>
          </w:rPr>
          <w:tab/>
        </w:r>
        <w:r>
          <w:rPr>
            <w:webHidden/>
          </w:rPr>
          <w:fldChar w:fldCharType="begin"/>
        </w:r>
        <w:r>
          <w:rPr>
            <w:webHidden/>
          </w:rPr>
          <w:instrText xml:space="preserve"> PAGEREF _Toc523327722 \h </w:instrText>
        </w:r>
        <w:r>
          <w:rPr>
            <w:webHidden/>
          </w:rPr>
        </w:r>
        <w:r>
          <w:rPr>
            <w:webHidden/>
          </w:rPr>
          <w:fldChar w:fldCharType="separate"/>
        </w:r>
        <w:r>
          <w:rPr>
            <w:webHidden/>
          </w:rPr>
          <w:t>70</w:t>
        </w:r>
        <w:r>
          <w:rPr>
            <w:webHidden/>
          </w:rPr>
          <w:fldChar w:fldCharType="end"/>
        </w:r>
      </w:hyperlink>
    </w:p>
    <w:p w14:paraId="349FBB0D" w14:textId="77777777" w:rsidR="00D96336" w:rsidRDefault="00D96336">
      <w:pPr>
        <w:pStyle w:val="TM2"/>
        <w:rPr>
          <w:rFonts w:asciiTheme="minorHAnsi" w:eastAsiaTheme="minorEastAsia" w:hAnsiTheme="minorHAnsi" w:cstheme="minorBidi"/>
          <w:b w:val="0"/>
          <w:bCs w:val="0"/>
          <w:szCs w:val="22"/>
        </w:rPr>
      </w:pPr>
      <w:hyperlink w:anchor="_Toc523327723" w:history="1">
        <w:r w:rsidRPr="0050761E">
          <w:rPr>
            <w:rStyle w:val="Lienhypertexte"/>
            <w14:scene3d>
              <w14:camera w14:prst="orthographicFront"/>
              <w14:lightRig w14:rig="threePt" w14:dir="t">
                <w14:rot w14:lat="0" w14:lon="0" w14:rev="0"/>
              </w14:lightRig>
            </w14:scene3d>
          </w:rPr>
          <w:t>Annexe 7.</w:t>
        </w:r>
        <w:r w:rsidRPr="0050761E">
          <w:rPr>
            <w:rStyle w:val="Lienhypertexte"/>
          </w:rPr>
          <w:t xml:space="preserve"> Les dispositifs d’AME et des « soins urgents »</w:t>
        </w:r>
        <w:r>
          <w:rPr>
            <w:webHidden/>
          </w:rPr>
          <w:tab/>
        </w:r>
        <w:r>
          <w:rPr>
            <w:webHidden/>
          </w:rPr>
          <w:fldChar w:fldCharType="begin"/>
        </w:r>
        <w:r>
          <w:rPr>
            <w:webHidden/>
          </w:rPr>
          <w:instrText xml:space="preserve"> PAGEREF _Toc523327723 \h </w:instrText>
        </w:r>
        <w:r>
          <w:rPr>
            <w:webHidden/>
          </w:rPr>
        </w:r>
        <w:r>
          <w:rPr>
            <w:webHidden/>
          </w:rPr>
          <w:fldChar w:fldCharType="separate"/>
        </w:r>
        <w:r>
          <w:rPr>
            <w:webHidden/>
          </w:rPr>
          <w:t>74</w:t>
        </w:r>
        <w:r>
          <w:rPr>
            <w:webHidden/>
          </w:rPr>
          <w:fldChar w:fldCharType="end"/>
        </w:r>
      </w:hyperlink>
    </w:p>
    <w:p w14:paraId="6ED7B15F" w14:textId="77777777" w:rsidR="00D96336" w:rsidRDefault="00D96336">
      <w:pPr>
        <w:pStyle w:val="TM2"/>
        <w:rPr>
          <w:rFonts w:asciiTheme="minorHAnsi" w:eastAsiaTheme="minorEastAsia" w:hAnsiTheme="minorHAnsi" w:cstheme="minorBidi"/>
          <w:b w:val="0"/>
          <w:bCs w:val="0"/>
          <w:szCs w:val="22"/>
        </w:rPr>
      </w:pPr>
      <w:hyperlink w:anchor="_Toc523327724" w:history="1">
        <w:r w:rsidRPr="0050761E">
          <w:rPr>
            <w:rStyle w:val="Lienhypertexte"/>
            <w14:scene3d>
              <w14:camera w14:prst="orthographicFront"/>
              <w14:lightRig w14:rig="threePt" w14:dir="t">
                <w14:rot w14:lat="0" w14:lon="0" w14:rev="0"/>
              </w14:lightRig>
            </w14:scene3d>
          </w:rPr>
          <w:t>Annexe 8.</w:t>
        </w:r>
        <w:r w:rsidRPr="0050761E">
          <w:rPr>
            <w:rStyle w:val="Lienhypertexte"/>
          </w:rPr>
          <w:t xml:space="preserve"> Les mesures d’amélioration de l’accès aux droits d’ores et déjà engagées face aux risques de renoncement aux droits</w:t>
        </w:r>
        <w:r>
          <w:rPr>
            <w:webHidden/>
          </w:rPr>
          <w:tab/>
        </w:r>
        <w:r>
          <w:rPr>
            <w:webHidden/>
          </w:rPr>
          <w:fldChar w:fldCharType="begin"/>
        </w:r>
        <w:r>
          <w:rPr>
            <w:webHidden/>
          </w:rPr>
          <w:instrText xml:space="preserve"> PAGEREF _Toc523327724 \h </w:instrText>
        </w:r>
        <w:r>
          <w:rPr>
            <w:webHidden/>
          </w:rPr>
        </w:r>
        <w:r>
          <w:rPr>
            <w:webHidden/>
          </w:rPr>
          <w:fldChar w:fldCharType="separate"/>
        </w:r>
        <w:r>
          <w:rPr>
            <w:webHidden/>
          </w:rPr>
          <w:t>75</w:t>
        </w:r>
        <w:r>
          <w:rPr>
            <w:webHidden/>
          </w:rPr>
          <w:fldChar w:fldCharType="end"/>
        </w:r>
      </w:hyperlink>
    </w:p>
    <w:p w14:paraId="63BC7D93" w14:textId="77777777" w:rsidR="00D96336" w:rsidRDefault="00D96336">
      <w:pPr>
        <w:pStyle w:val="TM2"/>
        <w:rPr>
          <w:rFonts w:asciiTheme="minorHAnsi" w:eastAsiaTheme="minorEastAsia" w:hAnsiTheme="minorHAnsi" w:cstheme="minorBidi"/>
          <w:b w:val="0"/>
          <w:bCs w:val="0"/>
          <w:szCs w:val="22"/>
        </w:rPr>
      </w:pPr>
      <w:hyperlink w:anchor="_Toc523327725" w:history="1">
        <w:r w:rsidRPr="0050761E">
          <w:rPr>
            <w:rStyle w:val="Lienhypertexte"/>
            <w14:scene3d>
              <w14:camera w14:prst="orthographicFront"/>
              <w14:lightRig w14:rig="threePt" w14:dir="t">
                <w14:rot w14:lat="0" w14:lon="0" w14:rev="0"/>
              </w14:lightRig>
            </w14:scene3d>
          </w:rPr>
          <w:t>Annexe 9.</w:t>
        </w:r>
        <w:r w:rsidRPr="0050761E">
          <w:rPr>
            <w:rStyle w:val="Lienhypertexte"/>
          </w:rPr>
          <w:t xml:space="preserve"> Les bénéficiaires de l’AME et leur consommation de soins</w:t>
        </w:r>
        <w:r>
          <w:rPr>
            <w:webHidden/>
          </w:rPr>
          <w:tab/>
        </w:r>
        <w:r>
          <w:rPr>
            <w:webHidden/>
          </w:rPr>
          <w:fldChar w:fldCharType="begin"/>
        </w:r>
        <w:r>
          <w:rPr>
            <w:webHidden/>
          </w:rPr>
          <w:instrText xml:space="preserve"> PAGEREF _Toc523327725 \h </w:instrText>
        </w:r>
        <w:r>
          <w:rPr>
            <w:webHidden/>
          </w:rPr>
        </w:r>
        <w:r>
          <w:rPr>
            <w:webHidden/>
          </w:rPr>
          <w:fldChar w:fldCharType="separate"/>
        </w:r>
        <w:r>
          <w:rPr>
            <w:webHidden/>
          </w:rPr>
          <w:t>77</w:t>
        </w:r>
        <w:r>
          <w:rPr>
            <w:webHidden/>
          </w:rPr>
          <w:fldChar w:fldCharType="end"/>
        </w:r>
      </w:hyperlink>
    </w:p>
    <w:p w14:paraId="512A582D" w14:textId="77777777" w:rsidR="00D96336" w:rsidRDefault="00D96336">
      <w:pPr>
        <w:pStyle w:val="TM2"/>
        <w:rPr>
          <w:rFonts w:asciiTheme="minorHAnsi" w:eastAsiaTheme="minorEastAsia" w:hAnsiTheme="minorHAnsi" w:cstheme="minorBidi"/>
          <w:b w:val="0"/>
          <w:bCs w:val="0"/>
          <w:szCs w:val="22"/>
        </w:rPr>
      </w:pPr>
      <w:hyperlink w:anchor="_Toc523327726" w:history="1">
        <w:r w:rsidRPr="0050761E">
          <w:rPr>
            <w:rStyle w:val="Lienhypertexte"/>
            <w14:scene3d>
              <w14:camera w14:prst="orthographicFront"/>
              <w14:lightRig w14:rig="threePt" w14:dir="t">
                <w14:rot w14:lat="0" w14:lon="0" w14:rev="0"/>
              </w14:lightRig>
            </w14:scene3d>
          </w:rPr>
          <w:t>Annexe 10.</w:t>
        </w:r>
        <w:r w:rsidRPr="0050761E">
          <w:rPr>
            <w:rStyle w:val="Lienhypertexte"/>
          </w:rPr>
          <w:t xml:space="preserve"> Comparaison des garanties CMU-C, ACS, AME</w:t>
        </w:r>
        <w:r>
          <w:rPr>
            <w:webHidden/>
          </w:rPr>
          <w:tab/>
        </w:r>
        <w:r>
          <w:rPr>
            <w:webHidden/>
          </w:rPr>
          <w:fldChar w:fldCharType="begin"/>
        </w:r>
        <w:r>
          <w:rPr>
            <w:webHidden/>
          </w:rPr>
          <w:instrText xml:space="preserve"> PAGEREF _Toc523327726 \h </w:instrText>
        </w:r>
        <w:r>
          <w:rPr>
            <w:webHidden/>
          </w:rPr>
        </w:r>
        <w:r>
          <w:rPr>
            <w:webHidden/>
          </w:rPr>
          <w:fldChar w:fldCharType="separate"/>
        </w:r>
        <w:r>
          <w:rPr>
            <w:webHidden/>
          </w:rPr>
          <w:t>80</w:t>
        </w:r>
        <w:r>
          <w:rPr>
            <w:webHidden/>
          </w:rPr>
          <w:fldChar w:fldCharType="end"/>
        </w:r>
      </w:hyperlink>
    </w:p>
    <w:p w14:paraId="6085A624" w14:textId="77777777" w:rsidR="00D96336" w:rsidRDefault="00D96336">
      <w:pPr>
        <w:pStyle w:val="TM2"/>
        <w:rPr>
          <w:rFonts w:asciiTheme="minorHAnsi" w:eastAsiaTheme="minorEastAsia" w:hAnsiTheme="minorHAnsi" w:cstheme="minorBidi"/>
          <w:b w:val="0"/>
          <w:bCs w:val="0"/>
          <w:szCs w:val="22"/>
        </w:rPr>
      </w:pPr>
      <w:hyperlink w:anchor="_Toc523327727" w:history="1">
        <w:r w:rsidRPr="0050761E">
          <w:rPr>
            <w:rStyle w:val="Lienhypertexte"/>
            <w14:scene3d>
              <w14:camera w14:prst="orthographicFront"/>
              <w14:lightRig w14:rig="threePt" w14:dir="t">
                <w14:rot w14:lat="0" w14:lon="0" w14:rev="0"/>
              </w14:lightRig>
            </w14:scene3d>
          </w:rPr>
          <w:t>Annexe 11.</w:t>
        </w:r>
        <w:r w:rsidRPr="0050761E">
          <w:rPr>
            <w:rStyle w:val="Lienhypertexte"/>
          </w:rPr>
          <w:t xml:space="preserve"> Synthèse du rapport sur l’aide au paiement d’une complémentaire santé</w:t>
        </w:r>
        <w:r>
          <w:rPr>
            <w:webHidden/>
          </w:rPr>
          <w:tab/>
        </w:r>
        <w:r>
          <w:rPr>
            <w:webHidden/>
          </w:rPr>
          <w:fldChar w:fldCharType="begin"/>
        </w:r>
        <w:r>
          <w:rPr>
            <w:webHidden/>
          </w:rPr>
          <w:instrText xml:space="preserve"> PAGEREF _Toc523327727 \h </w:instrText>
        </w:r>
        <w:r>
          <w:rPr>
            <w:webHidden/>
          </w:rPr>
        </w:r>
        <w:r>
          <w:rPr>
            <w:webHidden/>
          </w:rPr>
          <w:fldChar w:fldCharType="separate"/>
        </w:r>
        <w:r>
          <w:rPr>
            <w:webHidden/>
          </w:rPr>
          <w:t>81</w:t>
        </w:r>
        <w:r>
          <w:rPr>
            <w:webHidden/>
          </w:rPr>
          <w:fldChar w:fldCharType="end"/>
        </w:r>
      </w:hyperlink>
    </w:p>
    <w:p w14:paraId="02438D39" w14:textId="77777777" w:rsidR="00D96336" w:rsidRDefault="00D96336">
      <w:pPr>
        <w:pStyle w:val="TM2"/>
        <w:rPr>
          <w:rFonts w:asciiTheme="minorHAnsi" w:eastAsiaTheme="minorEastAsia" w:hAnsiTheme="minorHAnsi" w:cstheme="minorBidi"/>
          <w:b w:val="0"/>
          <w:bCs w:val="0"/>
          <w:szCs w:val="22"/>
        </w:rPr>
      </w:pPr>
      <w:hyperlink w:anchor="_Toc523327728" w:history="1">
        <w:r w:rsidRPr="0050761E">
          <w:rPr>
            <w:rStyle w:val="Lienhypertexte"/>
            <w14:scene3d>
              <w14:camera w14:prst="orthographicFront"/>
              <w14:lightRig w14:rig="threePt" w14:dir="t">
                <w14:rot w14:lat="0" w14:lon="0" w14:rev="0"/>
              </w14:lightRig>
            </w14:scene3d>
          </w:rPr>
          <w:t>Annexe 12.</w:t>
        </w:r>
        <w:r w:rsidRPr="0050761E">
          <w:rPr>
            <w:rStyle w:val="Lienhypertexte"/>
          </w:rPr>
          <w:t xml:space="preserve"> Étude des consommations des dispositifs médicaux générant des restes à charge (hors optique, audiologie et prothèses dentaires)</w:t>
        </w:r>
        <w:r>
          <w:rPr>
            <w:webHidden/>
          </w:rPr>
          <w:tab/>
        </w:r>
        <w:r>
          <w:rPr>
            <w:webHidden/>
          </w:rPr>
          <w:fldChar w:fldCharType="begin"/>
        </w:r>
        <w:r>
          <w:rPr>
            <w:webHidden/>
          </w:rPr>
          <w:instrText xml:space="preserve"> PAGEREF _Toc523327728 \h </w:instrText>
        </w:r>
        <w:r>
          <w:rPr>
            <w:webHidden/>
          </w:rPr>
        </w:r>
        <w:r>
          <w:rPr>
            <w:webHidden/>
          </w:rPr>
          <w:fldChar w:fldCharType="separate"/>
        </w:r>
        <w:r>
          <w:rPr>
            <w:webHidden/>
          </w:rPr>
          <w:t>84</w:t>
        </w:r>
        <w:r>
          <w:rPr>
            <w:webHidden/>
          </w:rPr>
          <w:fldChar w:fldCharType="end"/>
        </w:r>
      </w:hyperlink>
    </w:p>
    <w:p w14:paraId="748D6486" w14:textId="77777777" w:rsidR="00D96336" w:rsidRDefault="00D96336">
      <w:pPr>
        <w:pStyle w:val="TM2"/>
        <w:rPr>
          <w:rFonts w:asciiTheme="minorHAnsi" w:eastAsiaTheme="minorEastAsia" w:hAnsiTheme="minorHAnsi" w:cstheme="minorBidi"/>
          <w:b w:val="0"/>
          <w:bCs w:val="0"/>
          <w:szCs w:val="22"/>
        </w:rPr>
      </w:pPr>
      <w:hyperlink w:anchor="_Toc523327729" w:history="1">
        <w:r w:rsidRPr="0050761E">
          <w:rPr>
            <w:rStyle w:val="Lienhypertexte"/>
            <w14:scene3d>
              <w14:camera w14:prst="orthographicFront"/>
              <w14:lightRig w14:rig="threePt" w14:dir="t">
                <w14:rot w14:lat="0" w14:lon="0" w14:rev="0"/>
              </w14:lightRig>
            </w14:scene3d>
          </w:rPr>
          <w:t>Annexe 13.</w:t>
        </w:r>
        <w:r w:rsidRPr="0050761E">
          <w:rPr>
            <w:rStyle w:val="Lienhypertexte"/>
          </w:rPr>
          <w:t xml:space="preserve"> La plateforme d’intervention départementale pour l’accès aux soins et à la santé de l’assurance maladie (PFIDASS)</w:t>
        </w:r>
        <w:r>
          <w:rPr>
            <w:webHidden/>
          </w:rPr>
          <w:tab/>
        </w:r>
        <w:r>
          <w:rPr>
            <w:webHidden/>
          </w:rPr>
          <w:fldChar w:fldCharType="begin"/>
        </w:r>
        <w:r>
          <w:rPr>
            <w:webHidden/>
          </w:rPr>
          <w:instrText xml:space="preserve"> PAGEREF _Toc523327729 \h </w:instrText>
        </w:r>
        <w:r>
          <w:rPr>
            <w:webHidden/>
          </w:rPr>
        </w:r>
        <w:r>
          <w:rPr>
            <w:webHidden/>
          </w:rPr>
          <w:fldChar w:fldCharType="separate"/>
        </w:r>
        <w:r>
          <w:rPr>
            <w:webHidden/>
          </w:rPr>
          <w:t>87</w:t>
        </w:r>
        <w:r>
          <w:rPr>
            <w:webHidden/>
          </w:rPr>
          <w:fldChar w:fldCharType="end"/>
        </w:r>
      </w:hyperlink>
    </w:p>
    <w:p w14:paraId="6F5657F3" w14:textId="77777777" w:rsidR="00D96336" w:rsidRDefault="00D96336">
      <w:pPr>
        <w:pStyle w:val="TM2"/>
        <w:rPr>
          <w:rFonts w:asciiTheme="minorHAnsi" w:eastAsiaTheme="minorEastAsia" w:hAnsiTheme="minorHAnsi" w:cstheme="minorBidi"/>
          <w:b w:val="0"/>
          <w:bCs w:val="0"/>
          <w:szCs w:val="22"/>
        </w:rPr>
      </w:pPr>
      <w:hyperlink w:anchor="_Toc523327730" w:history="1">
        <w:r w:rsidRPr="0050761E">
          <w:rPr>
            <w:rStyle w:val="Lienhypertexte"/>
            <w14:scene3d>
              <w14:camera w14:prst="orthographicFront"/>
              <w14:lightRig w14:rig="threePt" w14:dir="t">
                <w14:rot w14:lat="0" w14:lon="0" w14:rev="0"/>
              </w14:lightRig>
            </w14:scene3d>
          </w:rPr>
          <w:t>Annexe 14.</w:t>
        </w:r>
        <w:r w:rsidRPr="0050761E">
          <w:rPr>
            <w:rStyle w:val="Lienhypertexte"/>
          </w:rPr>
          <w:t xml:space="preserve"> Les solutions d’appui et d’accompagnement des professionnels de santé</w:t>
        </w:r>
        <w:r>
          <w:rPr>
            <w:webHidden/>
          </w:rPr>
          <w:tab/>
        </w:r>
        <w:r>
          <w:rPr>
            <w:webHidden/>
          </w:rPr>
          <w:fldChar w:fldCharType="begin"/>
        </w:r>
        <w:r>
          <w:rPr>
            <w:webHidden/>
          </w:rPr>
          <w:instrText xml:space="preserve"> PAGEREF _Toc523327730 \h </w:instrText>
        </w:r>
        <w:r>
          <w:rPr>
            <w:webHidden/>
          </w:rPr>
        </w:r>
        <w:r>
          <w:rPr>
            <w:webHidden/>
          </w:rPr>
          <w:fldChar w:fldCharType="separate"/>
        </w:r>
        <w:r>
          <w:rPr>
            <w:webHidden/>
          </w:rPr>
          <w:t>89</w:t>
        </w:r>
        <w:r>
          <w:rPr>
            <w:webHidden/>
          </w:rPr>
          <w:fldChar w:fldCharType="end"/>
        </w:r>
      </w:hyperlink>
    </w:p>
    <w:p w14:paraId="5E78EC01" w14:textId="77777777" w:rsidR="00D96336" w:rsidRDefault="00D96336">
      <w:pPr>
        <w:pStyle w:val="TM2"/>
        <w:rPr>
          <w:rFonts w:asciiTheme="minorHAnsi" w:eastAsiaTheme="minorEastAsia" w:hAnsiTheme="minorHAnsi" w:cstheme="minorBidi"/>
          <w:b w:val="0"/>
          <w:bCs w:val="0"/>
          <w:szCs w:val="22"/>
        </w:rPr>
      </w:pPr>
      <w:hyperlink w:anchor="_Toc523327731" w:history="1">
        <w:r w:rsidRPr="0050761E">
          <w:rPr>
            <w:rStyle w:val="Lienhypertexte"/>
            <w14:scene3d>
              <w14:camera w14:prst="orthographicFront"/>
              <w14:lightRig w14:rig="threePt" w14:dir="t">
                <w14:rot w14:lat="0" w14:lon="0" w14:rev="0"/>
              </w14:lightRig>
            </w14:scene3d>
          </w:rPr>
          <w:t>Annexe 15.</w:t>
        </w:r>
        <w:r w:rsidRPr="0050761E">
          <w:rPr>
            <w:rStyle w:val="Lienhypertexte"/>
          </w:rPr>
          <w:t xml:space="preserve"> La valorisation de la prise en charge des personnes fragiles dans la rémunération des médecins</w:t>
        </w:r>
        <w:r>
          <w:rPr>
            <w:webHidden/>
          </w:rPr>
          <w:tab/>
        </w:r>
        <w:r>
          <w:rPr>
            <w:webHidden/>
          </w:rPr>
          <w:fldChar w:fldCharType="begin"/>
        </w:r>
        <w:r>
          <w:rPr>
            <w:webHidden/>
          </w:rPr>
          <w:instrText xml:space="preserve"> PAGEREF _Toc523327731 \h </w:instrText>
        </w:r>
        <w:r>
          <w:rPr>
            <w:webHidden/>
          </w:rPr>
        </w:r>
        <w:r>
          <w:rPr>
            <w:webHidden/>
          </w:rPr>
          <w:fldChar w:fldCharType="separate"/>
        </w:r>
        <w:r>
          <w:rPr>
            <w:webHidden/>
          </w:rPr>
          <w:t>90</w:t>
        </w:r>
        <w:r>
          <w:rPr>
            <w:webHidden/>
          </w:rPr>
          <w:fldChar w:fldCharType="end"/>
        </w:r>
      </w:hyperlink>
    </w:p>
    <w:p w14:paraId="6002BD66" w14:textId="77777777" w:rsidR="00D96336" w:rsidRDefault="00D96336">
      <w:pPr>
        <w:pStyle w:val="TM2"/>
        <w:rPr>
          <w:rFonts w:asciiTheme="minorHAnsi" w:eastAsiaTheme="minorEastAsia" w:hAnsiTheme="minorHAnsi" w:cstheme="minorBidi"/>
          <w:b w:val="0"/>
          <w:bCs w:val="0"/>
          <w:szCs w:val="22"/>
        </w:rPr>
      </w:pPr>
      <w:hyperlink w:anchor="_Toc523327732" w:history="1">
        <w:r w:rsidRPr="0050761E">
          <w:rPr>
            <w:rStyle w:val="Lienhypertexte"/>
            <w14:scene3d>
              <w14:camera w14:prst="orthographicFront"/>
              <w14:lightRig w14:rig="threePt" w14:dir="t">
                <w14:rot w14:lat="0" w14:lon="0" w14:rev="0"/>
              </w14:lightRig>
            </w14:scene3d>
          </w:rPr>
          <w:t>Annexe 16.</w:t>
        </w:r>
        <w:r w:rsidRPr="0050761E">
          <w:rPr>
            <w:rStyle w:val="Lienhypertexte"/>
          </w:rPr>
          <w:t xml:space="preserve"> La Banque Carrefour de sécurité sociale belge</w:t>
        </w:r>
        <w:r>
          <w:rPr>
            <w:webHidden/>
          </w:rPr>
          <w:tab/>
        </w:r>
        <w:r>
          <w:rPr>
            <w:webHidden/>
          </w:rPr>
          <w:fldChar w:fldCharType="begin"/>
        </w:r>
        <w:r>
          <w:rPr>
            <w:webHidden/>
          </w:rPr>
          <w:instrText xml:space="preserve"> PAGEREF _Toc523327732 \h </w:instrText>
        </w:r>
        <w:r>
          <w:rPr>
            <w:webHidden/>
          </w:rPr>
        </w:r>
        <w:r>
          <w:rPr>
            <w:webHidden/>
          </w:rPr>
          <w:fldChar w:fldCharType="separate"/>
        </w:r>
        <w:r>
          <w:rPr>
            <w:webHidden/>
          </w:rPr>
          <w:t>96</w:t>
        </w:r>
        <w:r>
          <w:rPr>
            <w:webHidden/>
          </w:rPr>
          <w:fldChar w:fldCharType="end"/>
        </w:r>
      </w:hyperlink>
    </w:p>
    <w:p w14:paraId="6428E67E" w14:textId="77777777" w:rsidR="00D96336" w:rsidRDefault="00D96336">
      <w:pPr>
        <w:pStyle w:val="TM2"/>
        <w:rPr>
          <w:rFonts w:asciiTheme="minorHAnsi" w:eastAsiaTheme="minorEastAsia" w:hAnsiTheme="minorHAnsi" w:cstheme="minorBidi"/>
          <w:b w:val="0"/>
          <w:bCs w:val="0"/>
          <w:szCs w:val="22"/>
        </w:rPr>
      </w:pPr>
      <w:hyperlink w:anchor="_Toc523327733" w:history="1">
        <w:r w:rsidRPr="0050761E">
          <w:rPr>
            <w:rStyle w:val="Lienhypertexte"/>
            <w14:scene3d>
              <w14:camera w14:prst="orthographicFront"/>
              <w14:lightRig w14:rig="threePt" w14:dir="t">
                <w14:rot w14:lat="0" w14:lon="0" w14:rev="0"/>
              </w14:lightRig>
            </w14:scene3d>
          </w:rPr>
          <w:t>Annexe 17.</w:t>
        </w:r>
        <w:r w:rsidRPr="0050761E">
          <w:rPr>
            <w:rStyle w:val="Lienhypertexte"/>
          </w:rPr>
          <w:t xml:space="preserve"> Les lits halte soins santé et les lits d’accueil médicalisés</w:t>
        </w:r>
        <w:r>
          <w:rPr>
            <w:webHidden/>
          </w:rPr>
          <w:tab/>
        </w:r>
        <w:r>
          <w:rPr>
            <w:webHidden/>
          </w:rPr>
          <w:fldChar w:fldCharType="begin"/>
        </w:r>
        <w:r>
          <w:rPr>
            <w:webHidden/>
          </w:rPr>
          <w:instrText xml:space="preserve"> PAGEREF _Toc523327733 \h </w:instrText>
        </w:r>
        <w:r>
          <w:rPr>
            <w:webHidden/>
          </w:rPr>
        </w:r>
        <w:r>
          <w:rPr>
            <w:webHidden/>
          </w:rPr>
          <w:fldChar w:fldCharType="separate"/>
        </w:r>
        <w:r>
          <w:rPr>
            <w:webHidden/>
          </w:rPr>
          <w:t>98</w:t>
        </w:r>
        <w:r>
          <w:rPr>
            <w:webHidden/>
          </w:rPr>
          <w:fldChar w:fldCharType="end"/>
        </w:r>
      </w:hyperlink>
    </w:p>
    <w:p w14:paraId="101F53F5" w14:textId="77777777" w:rsidR="00D96336" w:rsidRDefault="00D96336">
      <w:pPr>
        <w:pStyle w:val="TM2"/>
        <w:rPr>
          <w:rFonts w:asciiTheme="minorHAnsi" w:eastAsiaTheme="minorEastAsia" w:hAnsiTheme="minorHAnsi" w:cstheme="minorBidi"/>
          <w:b w:val="0"/>
          <w:bCs w:val="0"/>
          <w:szCs w:val="22"/>
        </w:rPr>
      </w:pPr>
      <w:hyperlink w:anchor="_Toc523327734" w:history="1">
        <w:r w:rsidRPr="0050761E">
          <w:rPr>
            <w:rStyle w:val="Lienhypertexte"/>
            <w14:scene3d>
              <w14:camera w14:prst="orthographicFront"/>
              <w14:lightRig w14:rig="threePt" w14:dir="t">
                <w14:rot w14:lat="0" w14:lon="0" w14:rev="0"/>
              </w14:lightRig>
            </w14:scene3d>
          </w:rPr>
          <w:t>Annexe 18.</w:t>
        </w:r>
        <w:r w:rsidRPr="0050761E">
          <w:rPr>
            <w:rStyle w:val="Lienhypertexte"/>
          </w:rPr>
          <w:t xml:space="preserve"> Résultats de l’enquête « Handisfaction » de l’association Handidactique concernant le refus de soins</w:t>
        </w:r>
        <w:r>
          <w:rPr>
            <w:webHidden/>
          </w:rPr>
          <w:tab/>
        </w:r>
        <w:r>
          <w:rPr>
            <w:webHidden/>
          </w:rPr>
          <w:fldChar w:fldCharType="begin"/>
        </w:r>
        <w:r>
          <w:rPr>
            <w:webHidden/>
          </w:rPr>
          <w:instrText xml:space="preserve"> PAGEREF _Toc523327734 \h </w:instrText>
        </w:r>
        <w:r>
          <w:rPr>
            <w:webHidden/>
          </w:rPr>
        </w:r>
        <w:r>
          <w:rPr>
            <w:webHidden/>
          </w:rPr>
          <w:fldChar w:fldCharType="separate"/>
        </w:r>
        <w:r>
          <w:rPr>
            <w:webHidden/>
          </w:rPr>
          <w:t>100</w:t>
        </w:r>
        <w:r>
          <w:rPr>
            <w:webHidden/>
          </w:rPr>
          <w:fldChar w:fldCharType="end"/>
        </w:r>
      </w:hyperlink>
    </w:p>
    <w:p w14:paraId="61D6BCFB" w14:textId="53382BEB" w:rsidR="00D10661" w:rsidRPr="00E536FA" w:rsidRDefault="004B3A87" w:rsidP="00D10661">
      <w:pPr>
        <w:pStyle w:val="Corpsdetexte"/>
        <w:rPr>
          <w:noProof/>
          <w:color w:val="auto"/>
          <w:lang w:eastAsia="fr-FR"/>
        </w:rPr>
      </w:pPr>
      <w:r>
        <w:rPr>
          <w:rFonts w:eastAsia="Times New Roman"/>
          <w:b/>
          <w:bCs/>
          <w:iCs/>
          <w:caps/>
          <w:noProof/>
          <w:color w:val="auto"/>
          <w:sz w:val="24"/>
          <w:szCs w:val="28"/>
          <w:u w:color="96C31E"/>
          <w:lang w:eastAsia="fr-FR"/>
        </w:rPr>
        <w:fldChar w:fldCharType="end"/>
      </w:r>
    </w:p>
    <w:p w14:paraId="061CC81F" w14:textId="77777777" w:rsidR="000D69CA" w:rsidRDefault="00641975" w:rsidP="000D69CA">
      <w:pPr>
        <w:pStyle w:val="Sous-Titre4"/>
      </w:pPr>
      <w:bookmarkStart w:id="1" w:name="_Toc523327663"/>
      <w:r>
        <w:lastRenderedPageBreak/>
        <w:t>Lettre de mission</w:t>
      </w:r>
      <w:bookmarkEnd w:id="1"/>
    </w:p>
    <w:p w14:paraId="1936060F" w14:textId="77777777" w:rsidR="00871D10" w:rsidRDefault="00871D10" w:rsidP="00871D10">
      <w:pPr>
        <w:pStyle w:val="Corpsdetexte"/>
        <w:jc w:val="center"/>
      </w:pPr>
      <w:r>
        <w:rPr>
          <w:noProof/>
          <w:lang w:eastAsia="fr-FR"/>
        </w:rPr>
        <w:drawing>
          <wp:inline distT="0" distB="0" distL="0" distR="0" wp14:anchorId="2B97BA84" wp14:editId="76DB34FD">
            <wp:extent cx="4886325" cy="6981825"/>
            <wp:effectExtent l="19050" t="19050" r="28575"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86325" cy="6981825"/>
                    </a:xfrm>
                    <a:prstGeom prst="rect">
                      <a:avLst/>
                    </a:prstGeom>
                    <a:ln>
                      <a:solidFill>
                        <a:schemeClr val="tx1"/>
                      </a:solidFill>
                    </a:ln>
                  </pic:spPr>
                </pic:pic>
              </a:graphicData>
            </a:graphic>
          </wp:inline>
        </w:drawing>
      </w:r>
    </w:p>
    <w:p w14:paraId="48933B26" w14:textId="77777777" w:rsidR="00871D10" w:rsidRDefault="00871D10" w:rsidP="00871D10">
      <w:pPr>
        <w:pStyle w:val="Corpsdetexte"/>
      </w:pPr>
    </w:p>
    <w:p w14:paraId="53510881" w14:textId="77777777" w:rsidR="00871D10" w:rsidRDefault="00871D10" w:rsidP="00871D10">
      <w:pPr>
        <w:pStyle w:val="Corpsdetexte"/>
        <w:jc w:val="center"/>
      </w:pPr>
      <w:r>
        <w:rPr>
          <w:noProof/>
          <w:lang w:eastAsia="fr-FR"/>
        </w:rPr>
        <w:lastRenderedPageBreak/>
        <w:drawing>
          <wp:inline distT="0" distB="0" distL="0" distR="0" wp14:anchorId="528CC259" wp14:editId="7D08B4A8">
            <wp:extent cx="4876800" cy="6943725"/>
            <wp:effectExtent l="19050" t="19050" r="19050" b="285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6943725"/>
                    </a:xfrm>
                    <a:prstGeom prst="rect">
                      <a:avLst/>
                    </a:prstGeom>
                    <a:ln>
                      <a:solidFill>
                        <a:schemeClr val="tx1"/>
                      </a:solidFill>
                    </a:ln>
                  </pic:spPr>
                </pic:pic>
              </a:graphicData>
            </a:graphic>
          </wp:inline>
        </w:drawing>
      </w:r>
    </w:p>
    <w:p w14:paraId="66C025B0" w14:textId="77777777" w:rsidR="00871D10" w:rsidRPr="00871D10" w:rsidRDefault="00871D10" w:rsidP="00871D10">
      <w:pPr>
        <w:pStyle w:val="Corpsdetexte"/>
      </w:pPr>
    </w:p>
    <w:p w14:paraId="7472AF32" w14:textId="77777777" w:rsidR="006A3D64" w:rsidRDefault="006A3D64" w:rsidP="000D69CA">
      <w:pPr>
        <w:pStyle w:val="CorpsdetexteEdito"/>
        <w:sectPr w:rsidR="006A3D64" w:rsidSect="00FF595E">
          <w:headerReference w:type="even" r:id="rId13"/>
          <w:footerReference w:type="even" r:id="rId14"/>
          <w:type w:val="continuous"/>
          <w:pgSz w:w="11907" w:h="16840" w:code="9"/>
          <w:pgMar w:top="2835" w:right="1134" w:bottom="1134" w:left="1134" w:header="567" w:footer="567" w:gutter="284"/>
          <w:pgNumType w:start="0"/>
          <w:cols w:space="708"/>
          <w:docGrid w:linePitch="360"/>
        </w:sectPr>
      </w:pPr>
    </w:p>
    <w:p w14:paraId="6EB7FE55" w14:textId="77777777" w:rsidR="00357ABF" w:rsidRDefault="00357ABF" w:rsidP="00541BB0">
      <w:pPr>
        <w:pStyle w:val="Corpsdetexte"/>
        <w:jc w:val="center"/>
        <w:rPr>
          <w:i/>
        </w:rPr>
        <w:sectPr w:rsidR="00357ABF" w:rsidSect="00FF595E">
          <w:type w:val="continuous"/>
          <w:pgSz w:w="11907" w:h="16840" w:code="9"/>
          <w:pgMar w:top="2835" w:right="1134" w:bottom="1134" w:left="1134" w:header="567" w:footer="567" w:gutter="284"/>
          <w:cols w:num="2" w:space="284"/>
          <w:docGrid w:linePitch="360"/>
        </w:sectPr>
      </w:pPr>
      <w:bookmarkStart w:id="2" w:name="_Toc414005287"/>
      <w:bookmarkStart w:id="3" w:name="_Toc358799433"/>
      <w:bookmarkStart w:id="4" w:name="_Toc231269899"/>
      <w:bookmarkStart w:id="5" w:name="_Toc231286195"/>
    </w:p>
    <w:p w14:paraId="23A4F5BF" w14:textId="77777777" w:rsidR="00F85E66" w:rsidRDefault="00F85E66" w:rsidP="004B0588">
      <w:pPr>
        <w:pStyle w:val="Corpsdetexte"/>
        <w:rPr>
          <w:rFonts w:asciiTheme="minorHAnsi" w:hAnsiTheme="minorHAnsi"/>
          <w:color w:val="auto"/>
          <w:sz w:val="56"/>
        </w:rPr>
      </w:pPr>
    </w:p>
    <w:p w14:paraId="0A746566" w14:textId="77777777" w:rsidR="009C026F" w:rsidRDefault="00CE5874" w:rsidP="003555DB">
      <w:pPr>
        <w:pStyle w:val="Sous-Titre4"/>
      </w:pPr>
      <w:bookmarkStart w:id="6" w:name="_Toc523327664"/>
      <w:r w:rsidRPr="00CE5874">
        <w:lastRenderedPageBreak/>
        <w:t>Méthode de travail, remerciements</w:t>
      </w:r>
      <w:bookmarkEnd w:id="6"/>
    </w:p>
    <w:p w14:paraId="2E62B8B2" w14:textId="6D7970A4" w:rsidR="00CE5874" w:rsidRPr="00CE5874" w:rsidRDefault="00CE5874" w:rsidP="00CE5874">
      <w:pPr>
        <w:pStyle w:val="Corpsdetexte"/>
      </w:pPr>
      <w:r w:rsidRPr="00CE5874">
        <w:t xml:space="preserve">Le temps imparti à la mission qui nous a été confiée par le Ministère des affaires sociales et de la santé et le </w:t>
      </w:r>
      <w:r w:rsidR="00C779EF">
        <w:t>S</w:t>
      </w:r>
      <w:r w:rsidRPr="00CE5874">
        <w:t>ecr</w:t>
      </w:r>
      <w:r w:rsidRPr="00CE5874">
        <w:t>é</w:t>
      </w:r>
      <w:r w:rsidRPr="00CE5874">
        <w:t>tariat d’Etat chargé des personnes handicapées</w:t>
      </w:r>
      <w:r w:rsidR="00AB729D">
        <w:t xml:space="preserve"> </w:t>
      </w:r>
      <w:r w:rsidRPr="00CE5874">
        <w:t xml:space="preserve">était très court </w:t>
      </w:r>
      <w:r w:rsidR="00AB729D">
        <w:t xml:space="preserve">(3 mois) </w:t>
      </w:r>
      <w:r w:rsidRPr="00CE5874">
        <w:t xml:space="preserve">au regard du périmètre et des enjeux concernés. S’il existe de nombreuses ressources documentaires plus ou moins anciennes sur l’accès aux droits et aux soins des personnes en situation de handicap ou de précarité, ces sujets sont également au cœur de l’agenda national : </w:t>
      </w:r>
      <w:r w:rsidR="00C779EF">
        <w:t>s</w:t>
      </w:r>
      <w:r w:rsidRPr="00CE5874">
        <w:t xml:space="preserve">tratégie nationale de santé, plan prévention, stratégie de lutte contre la pauvreté, réforme </w:t>
      </w:r>
      <w:r w:rsidR="00350B7D">
        <w:t>« </w:t>
      </w:r>
      <w:r w:rsidRPr="00CE5874">
        <w:t xml:space="preserve">100% </w:t>
      </w:r>
      <w:r w:rsidR="00D65432">
        <w:t>S</w:t>
      </w:r>
      <w:r w:rsidRPr="00CE5874">
        <w:t>a</w:t>
      </w:r>
      <w:r w:rsidRPr="00CE5874">
        <w:t>n</w:t>
      </w:r>
      <w:r w:rsidRPr="00CE5874">
        <w:t>té</w:t>
      </w:r>
      <w:r w:rsidR="00350B7D">
        <w:t> »</w:t>
      </w:r>
      <w:r w:rsidRPr="00CE5874">
        <w:t>, politique interministérielle sur le handicap, etc. Afin d’élaborer un diagnostic et des propositions les plus actualisées possibles, nous avons adopté une approche opérationnelle,</w:t>
      </w:r>
      <w:r w:rsidR="003D6529">
        <w:t xml:space="preserve"> </w:t>
      </w:r>
      <w:r w:rsidRPr="00CE5874">
        <w:t xml:space="preserve">privilégiant la consultation des acteurs </w:t>
      </w:r>
      <w:r w:rsidR="003D6529">
        <w:t>qui interviennent</w:t>
      </w:r>
      <w:r w:rsidR="003D6529" w:rsidRPr="00CE5874">
        <w:t xml:space="preserve"> </w:t>
      </w:r>
      <w:r w:rsidRPr="00CE5874">
        <w:t>pour l’accès aux droits et aux soins des personnes en situation de handicap et de précarité.</w:t>
      </w:r>
    </w:p>
    <w:p w14:paraId="1C5458D0" w14:textId="354D6064" w:rsidR="00CE5874" w:rsidRPr="00CE5874" w:rsidRDefault="00CE5874" w:rsidP="00CE5874">
      <w:pPr>
        <w:pStyle w:val="Corpsdetexte"/>
      </w:pPr>
      <w:r w:rsidRPr="00CE5874">
        <w:t>Il est matériellement impossible de rencontrer tous les opérateurs et associations qui, chaque jour, œuvrent pour l’amélioration de l’accès à la santé des 9 millions de personnes en situation de précarité et des millions</w:t>
      </w:r>
      <w:r w:rsidR="00D22E5A" w:rsidRPr="00CE5874">
        <w:rPr>
          <w:vertAlign w:val="superscript"/>
        </w:rPr>
        <w:footnoteReference w:id="1"/>
      </w:r>
      <w:r w:rsidRPr="00CE5874">
        <w:t xml:space="preserve"> de pe</w:t>
      </w:r>
      <w:r w:rsidRPr="00CE5874">
        <w:t>r</w:t>
      </w:r>
      <w:r w:rsidRPr="00CE5874">
        <w:t xml:space="preserve">sonnes en situation de handicap, dont 1,6 million </w:t>
      </w:r>
      <w:r w:rsidR="00D6642C">
        <w:t xml:space="preserve">sont </w:t>
      </w:r>
      <w:r w:rsidRPr="00CE5874">
        <w:t>en situation de pauvreté. Ces acteurs expérimentent sur le territoire de nouvelles organisations ou de nouveaux outils au bénéfice des assurés, des professionnels de santé ou des structures sanitaires et médico-sociales.</w:t>
      </w:r>
    </w:p>
    <w:p w14:paraId="6ADFD65D" w14:textId="359E18FF" w:rsidR="00CE5874" w:rsidRPr="00CE5874" w:rsidRDefault="00CE5874" w:rsidP="00CE5874">
      <w:pPr>
        <w:pStyle w:val="Corpsdetexte"/>
      </w:pPr>
      <w:r w:rsidRPr="00CE5874">
        <w:t>Nous avons néanmoins rencontré les principales associations de personnes handicapées et les associations qui accompagnent les personnes en situation de précarité, les administrations centrales compétentes, l’assurance maladie et les opérateurs intervenant dans le champ de la santé et du handicap (</w:t>
      </w:r>
      <w:r w:rsidR="00350B7D">
        <w:t>Caisse nationale d’assurance m</w:t>
      </w:r>
      <w:r w:rsidR="00350B7D">
        <w:t>a</w:t>
      </w:r>
      <w:r w:rsidR="00350B7D">
        <w:t xml:space="preserve">ladie - </w:t>
      </w:r>
      <w:r w:rsidRPr="00CE5874">
        <w:t>CNAM</w:t>
      </w:r>
      <w:r w:rsidR="00350B7D">
        <w:t xml:space="preserve"> -</w:t>
      </w:r>
      <w:r w:rsidRPr="00CE5874">
        <w:t>, agences régionales de santé</w:t>
      </w:r>
      <w:r w:rsidR="00191FCA">
        <w:t xml:space="preserve"> - ARS -</w:t>
      </w:r>
      <w:r w:rsidRPr="00CE5874">
        <w:t xml:space="preserve">, </w:t>
      </w:r>
      <w:r w:rsidR="00350B7D" w:rsidRPr="00350B7D">
        <w:t xml:space="preserve">Caisse nationale de solidarité pour l'autonomie </w:t>
      </w:r>
      <w:r w:rsidR="00350B7D">
        <w:t xml:space="preserve">- </w:t>
      </w:r>
      <w:r w:rsidRPr="00CE5874">
        <w:t>CNSA</w:t>
      </w:r>
      <w:r w:rsidR="00350B7D">
        <w:t xml:space="preserve"> -</w:t>
      </w:r>
      <w:r w:rsidRPr="00CE5874">
        <w:t>,</w:t>
      </w:r>
      <w:r w:rsidR="00B46142">
        <w:t>etc.</w:t>
      </w:r>
      <w:r w:rsidRPr="00CE5874">
        <w:t>), les fédérations nationales hospitalières, l’</w:t>
      </w:r>
      <w:r w:rsidR="00350B7D" w:rsidRPr="00350B7D">
        <w:t xml:space="preserve">Institut de recherche et documentation en économie de la santé </w:t>
      </w:r>
      <w:r w:rsidR="00350B7D">
        <w:t>(</w:t>
      </w:r>
      <w:r w:rsidRPr="00CE5874">
        <w:t>IRDES</w:t>
      </w:r>
      <w:r w:rsidR="00350B7D">
        <w:t>)</w:t>
      </w:r>
      <w:r w:rsidRPr="00CE5874">
        <w:t>, les conseils nationaux consultatifs, ainsi qu’un ensemble de personnes qualifiées dans les domaines de la santé, du handicap et de la pauvreté. Nous avons également auditionné des personnes qui connaissent ou qui ont trave</w:t>
      </w:r>
      <w:r w:rsidRPr="00CE5874">
        <w:t>r</w:t>
      </w:r>
      <w:r w:rsidRPr="00CE5874">
        <w:t xml:space="preserve">sé des périodes de précarité ou de handicap et qui nous </w:t>
      </w:r>
      <w:r w:rsidR="00C779EF">
        <w:t xml:space="preserve">ont </w:t>
      </w:r>
      <w:r w:rsidRPr="00CE5874">
        <w:t>relaté les nombreuses difficultés rencontrées tout au long de leur parcours de santé.</w:t>
      </w:r>
    </w:p>
    <w:p w14:paraId="282F8D78" w14:textId="30DEFCE1" w:rsidR="00CE5874" w:rsidRPr="00CE5874" w:rsidRDefault="00CE5874" w:rsidP="00CE5874">
      <w:pPr>
        <w:pStyle w:val="Corpsdetexte"/>
      </w:pPr>
      <w:r w:rsidRPr="00CE5874">
        <w:t>De mi-avril à fin juin 2018, près de 40 organismes ont ainsi été auditionnés, impliquant plus de 120 personnes, dont la liste figure en annexe</w:t>
      </w:r>
      <w:r w:rsidR="00FD4055">
        <w:t xml:space="preserve"> 2</w:t>
      </w:r>
      <w:r w:rsidRPr="00CE5874">
        <w:t xml:space="preserve"> du rapport. Ces auditions ont permis de disposer d’une vision large et plurielle des missions et activités des acteurs en matière d’accès à la santé des personnes en situation de handicap et</w:t>
      </w:r>
      <w:r w:rsidR="00152A9E">
        <w:t xml:space="preserve"> </w:t>
      </w:r>
      <w:r w:rsidRPr="00CE5874">
        <w:t>/</w:t>
      </w:r>
      <w:r w:rsidR="00152A9E">
        <w:t xml:space="preserve"> </w:t>
      </w:r>
      <w:r w:rsidRPr="00CE5874">
        <w:t>ou de précarité. Elles ont aussi permis de recueillir leur point de vue sur les pistes d’améliorations que nous portons dans le présent rapport, auxquelles les acteurs ont adhéré dans leurs principes. Il reste que ces pistes n’engagent que les auteurs et n’englobent pas toutes les solutions possibles</w:t>
      </w:r>
      <w:r w:rsidRPr="00CE5874">
        <w:rPr>
          <w:vertAlign w:val="superscript"/>
        </w:rPr>
        <w:footnoteReference w:id="2"/>
      </w:r>
      <w:r w:rsidRPr="00CE5874">
        <w:t xml:space="preserve"> (</w:t>
      </w:r>
      <w:r w:rsidRPr="00EA1EEF">
        <w:rPr>
          <w:i/>
        </w:rPr>
        <w:t>cf.</w:t>
      </w:r>
      <w:r w:rsidRPr="00CE5874">
        <w:t xml:space="preserve"> notamment les contributions en annexe du rapport). Elles nécessitent par ailleurs d’être instruites techniquement de manière plus approfondie pour la plupart. </w:t>
      </w:r>
    </w:p>
    <w:p w14:paraId="43530CC9" w14:textId="77777777" w:rsidR="00CE5874" w:rsidRPr="00CE5874" w:rsidRDefault="00CE5874" w:rsidP="00CE5874">
      <w:pPr>
        <w:pStyle w:val="Corpsdetexte"/>
      </w:pPr>
      <w:r w:rsidRPr="00CE5874">
        <w:t>Nous remercions l’ensemble des acteurs et personnes qui se sont rendues disponibles et ont contribué, par écrit ou lors de nos échanges, à alimenter ce rapport. La richesse des échanges et des éléments apportés témoigne de l’engagement des acteurs sur les questions d’accès à la santé des personnes en situation de handicap et des pe</w:t>
      </w:r>
      <w:r w:rsidRPr="00CE5874">
        <w:t>r</w:t>
      </w:r>
      <w:r w:rsidRPr="00CE5874">
        <w:t>sonnes en situation de pauvreté. Nous remercions par ailleurs Dominique Lassus-Minvielle, administratrice civile mise à disposition en appui à la mission. Enfin, la mission a bénéficié d’un appui de qualité de l’équipe du Fonds CMU</w:t>
      </w:r>
      <w:r w:rsidRPr="00CE5874">
        <w:noBreakHyphen/>
        <w:t>C, à la fois en termes d’organisation des auditions et de contenu (travaux d’analyse, préparation des aud</w:t>
      </w:r>
      <w:r w:rsidRPr="00CE5874">
        <w:t>i</w:t>
      </w:r>
      <w:r w:rsidRPr="00CE5874">
        <w:t>tions, rédaction). Nous tenons tout particulièrement à remercier Gwénaëlle Le Bohec, directrice adjointe du Fonds CMU</w:t>
      </w:r>
      <w:r w:rsidRPr="00CE5874">
        <w:noBreakHyphen/>
        <w:t>C.</w:t>
      </w:r>
    </w:p>
    <w:p w14:paraId="641E4CD7" w14:textId="77777777" w:rsidR="00CE5874" w:rsidRDefault="00CE5874" w:rsidP="004B0588">
      <w:pPr>
        <w:pStyle w:val="Corpsdetexte"/>
      </w:pPr>
    </w:p>
    <w:p w14:paraId="7976BB6E" w14:textId="77777777" w:rsidR="00760947" w:rsidRDefault="00760947" w:rsidP="004B0588">
      <w:pPr>
        <w:pStyle w:val="Corpsdetexte"/>
      </w:pPr>
    </w:p>
    <w:p w14:paraId="26FEE06D" w14:textId="2FB9EC9D" w:rsidR="00B60376" w:rsidRDefault="00B60376" w:rsidP="00C55C6E">
      <w:pPr>
        <w:pStyle w:val="Sous-Titre4"/>
        <w:rPr>
          <w:highlight w:val="yellow"/>
        </w:rPr>
      </w:pPr>
      <w:bookmarkStart w:id="7" w:name="_Toc523327665"/>
      <w:r>
        <w:lastRenderedPageBreak/>
        <w:t xml:space="preserve">Nos </w:t>
      </w:r>
      <w:r w:rsidR="00EA41B9">
        <w:t xml:space="preserve">principales </w:t>
      </w:r>
      <w:r>
        <w:t>recommandations</w:t>
      </w:r>
      <w:bookmarkEnd w:id="7"/>
      <w:r w:rsidR="00C35998">
        <w:t xml:space="preserve"> </w:t>
      </w:r>
    </w:p>
    <w:p w14:paraId="390EADDB" w14:textId="77777777" w:rsidR="00B60376" w:rsidRDefault="00B60376" w:rsidP="00B60376">
      <w:pPr>
        <w:pStyle w:val="Corpsdetexte"/>
        <w:rPr>
          <w:b/>
        </w:rPr>
      </w:pPr>
    </w:p>
    <w:p w14:paraId="793B96B3" w14:textId="3B2CF58B" w:rsidR="00B60376" w:rsidRDefault="00B60376" w:rsidP="008971E4">
      <w:pPr>
        <w:pStyle w:val="Corpsdetexte"/>
        <w:rPr>
          <w:b/>
        </w:rPr>
      </w:pPr>
      <w:r w:rsidRPr="008971E4">
        <w:rPr>
          <w:b/>
          <w:sz w:val="28"/>
          <w:szCs w:val="28"/>
        </w:rPr>
        <w:t xml:space="preserve">Rendre </w:t>
      </w:r>
      <w:r w:rsidR="00467E92">
        <w:rPr>
          <w:b/>
          <w:sz w:val="28"/>
          <w:szCs w:val="28"/>
        </w:rPr>
        <w:t xml:space="preserve">effectif le </w:t>
      </w:r>
      <w:r w:rsidRPr="008971E4">
        <w:rPr>
          <w:b/>
          <w:sz w:val="28"/>
          <w:szCs w:val="28"/>
        </w:rPr>
        <w:t>droit à une couverture santé</w:t>
      </w:r>
    </w:p>
    <w:p w14:paraId="23761890" w14:textId="741FB4C1" w:rsidR="00B60376" w:rsidRDefault="00B60376" w:rsidP="008971E4">
      <w:pPr>
        <w:pStyle w:val="Bullet1"/>
      </w:pPr>
      <w:r w:rsidRPr="00C55C6E">
        <w:t>Rendre automatique l’</w:t>
      </w:r>
      <w:r w:rsidR="004F39AC">
        <w:t>ouverture du droit (</w:t>
      </w:r>
      <w:r w:rsidRPr="00C55C6E">
        <w:t>CMU-</w:t>
      </w:r>
      <w:r>
        <w:t>C aux bénéficiaires du RSA</w:t>
      </w:r>
      <w:r w:rsidR="004F39AC">
        <w:t>) et son renouvell</w:t>
      </w:r>
      <w:r w:rsidR="004F39AC">
        <w:t>e</w:t>
      </w:r>
      <w:r w:rsidR="004F39AC">
        <w:t xml:space="preserve">ment (ACS aux </w:t>
      </w:r>
      <w:r w:rsidRPr="00C55C6E">
        <w:t xml:space="preserve">bénéficiaires de </w:t>
      </w:r>
      <w:r w:rsidR="004F39AC">
        <w:t>l’AAH en situation de précarité)</w:t>
      </w:r>
    </w:p>
    <w:p w14:paraId="117F9741" w14:textId="742F3F4F" w:rsidR="004F39AC" w:rsidRDefault="00615257" w:rsidP="008971E4">
      <w:pPr>
        <w:pStyle w:val="Bullet1"/>
      </w:pPr>
      <w:r w:rsidRPr="00C55C6E">
        <w:t>Sécuriser et harmoniser l’instruction du droit à l’AME sur le territoire</w:t>
      </w:r>
      <w:r w:rsidR="00BB39D3">
        <w:t xml:space="preserve"> en s’appuyant notamment sur des comités de suivi entre l’assurance maladie et les associations</w:t>
      </w:r>
    </w:p>
    <w:p w14:paraId="4004939E" w14:textId="77777777" w:rsidR="00D040D1" w:rsidRDefault="00D040D1" w:rsidP="008971E4">
      <w:pPr>
        <w:pStyle w:val="Bullet1"/>
        <w:numPr>
          <w:ilvl w:val="0"/>
          <w:numId w:val="0"/>
        </w:numPr>
        <w:ind w:left="720"/>
      </w:pPr>
    </w:p>
    <w:p w14:paraId="7D071C6D" w14:textId="169D90B2" w:rsidR="00D040D1" w:rsidRDefault="00D040D1" w:rsidP="00D040D1">
      <w:pPr>
        <w:pStyle w:val="Corpsdetexte"/>
        <w:rPr>
          <w:b/>
        </w:rPr>
      </w:pPr>
      <w:r w:rsidRPr="00036FBE">
        <w:rPr>
          <w:b/>
          <w:sz w:val="28"/>
          <w:szCs w:val="28"/>
        </w:rPr>
        <w:t xml:space="preserve">Rendre </w:t>
      </w:r>
      <w:r w:rsidR="00467E92">
        <w:rPr>
          <w:b/>
          <w:sz w:val="28"/>
          <w:szCs w:val="28"/>
        </w:rPr>
        <w:t>les soins financièrement accessibles</w:t>
      </w:r>
    </w:p>
    <w:p w14:paraId="448C3B0C" w14:textId="77777777" w:rsidR="00D040D1" w:rsidRDefault="00D040D1" w:rsidP="008971E4">
      <w:pPr>
        <w:pStyle w:val="Bullet1"/>
      </w:pPr>
      <w:r w:rsidRPr="00C55C6E">
        <w:t>Offrir aux bénéficiaires de l’ACS une couverture santé aussi protectrice que la CMU</w:t>
      </w:r>
      <w:r w:rsidRPr="00C55C6E">
        <w:noBreakHyphen/>
        <w:t>C, sans reste à charge sur leurs dépenses de santé</w:t>
      </w:r>
    </w:p>
    <w:p w14:paraId="78FEB1B0" w14:textId="47DC7966" w:rsidR="00467E92" w:rsidRDefault="006F55A7" w:rsidP="008971E4">
      <w:pPr>
        <w:pStyle w:val="Bullet1"/>
      </w:pPr>
      <w:r>
        <w:t>Réduire et harmoniser les restes</w:t>
      </w:r>
      <w:r w:rsidR="007D7DE0">
        <w:t xml:space="preserve"> </w:t>
      </w:r>
      <w:r w:rsidR="00467E92">
        <w:t>à</w:t>
      </w:r>
      <w:r w:rsidR="007D7DE0">
        <w:t xml:space="preserve"> </w:t>
      </w:r>
      <w:r w:rsidR="00467E92">
        <w:t>charge</w:t>
      </w:r>
      <w:r>
        <w:t xml:space="preserve"> </w:t>
      </w:r>
      <w:r w:rsidR="00271C32">
        <w:t xml:space="preserve">pour les </w:t>
      </w:r>
      <w:r>
        <w:t>di</w:t>
      </w:r>
      <w:r w:rsidR="00AB729D">
        <w:t>s</w:t>
      </w:r>
      <w:r>
        <w:t>pos</w:t>
      </w:r>
      <w:r w:rsidR="00271C32">
        <w:t>i</w:t>
      </w:r>
      <w:r>
        <w:t>tifs médicaux</w:t>
      </w:r>
    </w:p>
    <w:p w14:paraId="342D2FB6" w14:textId="77777777" w:rsidR="00D040D1" w:rsidRDefault="00D040D1" w:rsidP="008971E4">
      <w:pPr>
        <w:pStyle w:val="Bullet1"/>
        <w:numPr>
          <w:ilvl w:val="0"/>
          <w:numId w:val="0"/>
        </w:numPr>
        <w:ind w:left="720"/>
      </w:pPr>
    </w:p>
    <w:p w14:paraId="5D7E9548" w14:textId="77777777" w:rsidR="00467E92" w:rsidRPr="008971E4" w:rsidRDefault="00467E92" w:rsidP="00467E92">
      <w:pPr>
        <w:pStyle w:val="Corpsdetexte"/>
        <w:rPr>
          <w:b/>
          <w:sz w:val="28"/>
          <w:szCs w:val="28"/>
        </w:rPr>
      </w:pPr>
      <w:r w:rsidRPr="008971E4">
        <w:rPr>
          <w:b/>
          <w:sz w:val="28"/>
          <w:szCs w:val="28"/>
        </w:rPr>
        <w:t>Faciliter l’accès à la santé</w:t>
      </w:r>
    </w:p>
    <w:p w14:paraId="5C31DC39" w14:textId="702A2873" w:rsidR="00467E92" w:rsidRDefault="001958E3" w:rsidP="008971E4">
      <w:pPr>
        <w:pStyle w:val="Bullet1"/>
      </w:pPr>
      <w:r>
        <w:t>R</w:t>
      </w:r>
      <w:r w:rsidR="00467E92" w:rsidRPr="00C55C6E">
        <w:t>epér</w:t>
      </w:r>
      <w:r>
        <w:t>er</w:t>
      </w:r>
      <w:r w:rsidR="00467E92" w:rsidRPr="00C55C6E">
        <w:t>, orient</w:t>
      </w:r>
      <w:r>
        <w:t>er</w:t>
      </w:r>
      <w:r w:rsidR="00467E92" w:rsidRPr="00C55C6E">
        <w:t xml:space="preserve"> et accompagne</w:t>
      </w:r>
      <w:r>
        <w:t xml:space="preserve">r les personnes </w:t>
      </w:r>
      <w:r w:rsidR="00467E92" w:rsidRPr="00C55C6E">
        <w:t xml:space="preserve">en s’appuyant sur le dispositif </w:t>
      </w:r>
      <w:r w:rsidR="005D22F8">
        <w:t>PFIDASS</w:t>
      </w:r>
      <w:r w:rsidR="00467E92" w:rsidRPr="00C55C6E">
        <w:t xml:space="preserve"> de la CNAM et </w:t>
      </w:r>
      <w:r>
        <w:t xml:space="preserve">en développant les </w:t>
      </w:r>
      <w:r w:rsidR="00467E92" w:rsidRPr="00C55C6E">
        <w:t xml:space="preserve">partenariats </w:t>
      </w:r>
    </w:p>
    <w:p w14:paraId="2CC1C4D6" w14:textId="1AFFAB27" w:rsidR="00D464FD" w:rsidRDefault="00C35998" w:rsidP="008971E4">
      <w:pPr>
        <w:pStyle w:val="Bullet1"/>
      </w:pPr>
      <w:r>
        <w:t>Doter</w:t>
      </w:r>
      <w:r w:rsidR="00D464FD">
        <w:t xml:space="preserve"> les </w:t>
      </w:r>
      <w:r w:rsidR="00D464FD" w:rsidRPr="003637D0">
        <w:t>dispositifs mobiles du « aller-vers »</w:t>
      </w:r>
      <w:r w:rsidR="00D464FD">
        <w:t xml:space="preserve"> de financements pérennes et </w:t>
      </w:r>
      <w:r w:rsidR="00D464FD" w:rsidRPr="003637D0">
        <w:t xml:space="preserve">assurer une meilleure couverture </w:t>
      </w:r>
      <w:r w:rsidR="00D464FD">
        <w:t xml:space="preserve">de ces dispositifs sur le territoire </w:t>
      </w:r>
    </w:p>
    <w:p w14:paraId="544EA310" w14:textId="77777777" w:rsidR="003B6E56" w:rsidRPr="00983748" w:rsidRDefault="003B6E56" w:rsidP="003B6E56">
      <w:pPr>
        <w:pStyle w:val="Bullet1"/>
      </w:pPr>
      <w:r>
        <w:t>Doter</w:t>
      </w:r>
      <w:r w:rsidRPr="00983748">
        <w:t xml:space="preserve"> </w:t>
      </w:r>
      <w:r>
        <w:t>les structures d’hébergement social de compétences soignantes et les SIAO  de profe</w:t>
      </w:r>
      <w:r>
        <w:t>s</w:t>
      </w:r>
      <w:r>
        <w:t>sionnels de santé capables d’orienter les personnes vers les structures sanitaires et médico-sociales adaptées.</w:t>
      </w:r>
    </w:p>
    <w:p w14:paraId="10069335" w14:textId="77777777" w:rsidR="001958E3" w:rsidRPr="006F55A7" w:rsidRDefault="001958E3" w:rsidP="001958E3">
      <w:pPr>
        <w:pStyle w:val="Bullet1"/>
        <w:numPr>
          <w:ilvl w:val="0"/>
          <w:numId w:val="0"/>
        </w:numPr>
        <w:ind w:left="720"/>
      </w:pPr>
    </w:p>
    <w:p w14:paraId="4FC9DC72" w14:textId="1A7C741E" w:rsidR="00B60376" w:rsidRPr="008971E4" w:rsidRDefault="00D464FD" w:rsidP="008971E4">
      <w:pPr>
        <w:pStyle w:val="Corpsdetexte"/>
        <w:rPr>
          <w:b/>
          <w:sz w:val="28"/>
          <w:szCs w:val="28"/>
        </w:rPr>
      </w:pPr>
      <w:r>
        <w:rPr>
          <w:b/>
          <w:sz w:val="28"/>
          <w:szCs w:val="28"/>
        </w:rPr>
        <w:t>Mieux valoriser les spécificités de la prise en charge</w:t>
      </w:r>
    </w:p>
    <w:p w14:paraId="49DFD194" w14:textId="2A780804" w:rsidR="00D464FD" w:rsidRDefault="00D464FD" w:rsidP="008971E4">
      <w:pPr>
        <w:pStyle w:val="Bullet1"/>
      </w:pPr>
      <w:r w:rsidRPr="00C55C6E">
        <w:t>Valoris</w:t>
      </w:r>
      <w:r>
        <w:t>er le temps et la complexité de prise en charge dans les soins de ville, les structures san</w:t>
      </w:r>
      <w:r>
        <w:t>i</w:t>
      </w:r>
      <w:r>
        <w:t>taires et médico-sociales</w:t>
      </w:r>
    </w:p>
    <w:p w14:paraId="1AD0714F" w14:textId="2D9E074B" w:rsidR="00EA41B9" w:rsidRDefault="00D464FD" w:rsidP="008971E4">
      <w:pPr>
        <w:pStyle w:val="Bullet1"/>
      </w:pPr>
      <w:r>
        <w:t>Finaliser, rendre transparent et homogène sur le terri</w:t>
      </w:r>
      <w:r w:rsidR="00A24269">
        <w:t>toire le panier de soins des établissements médico-sociaux</w:t>
      </w:r>
      <w:r>
        <w:t xml:space="preserve"> </w:t>
      </w:r>
    </w:p>
    <w:p w14:paraId="228AA635" w14:textId="77777777" w:rsidR="001958E3" w:rsidRDefault="001958E3" w:rsidP="007D6D25">
      <w:pPr>
        <w:pStyle w:val="Bullet1"/>
        <w:numPr>
          <w:ilvl w:val="0"/>
          <w:numId w:val="0"/>
        </w:numPr>
        <w:ind w:left="720"/>
      </w:pPr>
    </w:p>
    <w:p w14:paraId="4C6F1D1C" w14:textId="7C0DDB56" w:rsidR="00395BE6" w:rsidRPr="008971E4" w:rsidRDefault="00395BE6" w:rsidP="008971E4">
      <w:pPr>
        <w:pStyle w:val="Corpsdetexte"/>
        <w:rPr>
          <w:b/>
          <w:sz w:val="28"/>
          <w:szCs w:val="28"/>
        </w:rPr>
      </w:pPr>
      <w:r w:rsidRPr="008971E4">
        <w:rPr>
          <w:b/>
          <w:sz w:val="28"/>
          <w:szCs w:val="28"/>
        </w:rPr>
        <w:t xml:space="preserve">Assurer un pilotage efficient de la </w:t>
      </w:r>
      <w:r>
        <w:rPr>
          <w:b/>
          <w:sz w:val="28"/>
          <w:szCs w:val="28"/>
        </w:rPr>
        <w:t>santé de ces populations à tous les niveaux</w:t>
      </w:r>
    </w:p>
    <w:p w14:paraId="75024CA7" w14:textId="77777777" w:rsidR="00732044" w:rsidRDefault="00732044" w:rsidP="00732044">
      <w:pPr>
        <w:pStyle w:val="Bullet1"/>
      </w:pPr>
      <w:r>
        <w:t>Intégrer des indicateurs de suivi de la santé de ces populations dans la certification et l’évaluation  des établissements et services sanitaires et médico-sociaux</w:t>
      </w:r>
    </w:p>
    <w:p w14:paraId="001FD1BE" w14:textId="308F4A18" w:rsidR="00395BE6" w:rsidRDefault="00395BE6" w:rsidP="008971E4">
      <w:pPr>
        <w:pStyle w:val="Bullet1"/>
      </w:pPr>
      <w:r>
        <w:t>Mettre en place un obse</w:t>
      </w:r>
      <w:r w:rsidR="004F39AC">
        <w:t>r</w:t>
      </w:r>
      <w:r>
        <w:t xml:space="preserve">vatoire de </w:t>
      </w:r>
      <w:r w:rsidR="001958E3">
        <w:t>la</w:t>
      </w:r>
      <w:r>
        <w:t xml:space="preserve"> santé</w:t>
      </w:r>
      <w:r w:rsidR="001A2597">
        <w:t xml:space="preserve"> </w:t>
      </w:r>
      <w:r w:rsidR="001958E3">
        <w:t xml:space="preserve">et de l’accès aux soins </w:t>
      </w:r>
      <w:r>
        <w:t xml:space="preserve">des personnes </w:t>
      </w:r>
      <w:r w:rsidR="00C14DC6">
        <w:t xml:space="preserve">en situation de </w:t>
      </w:r>
      <w:r>
        <w:t xml:space="preserve">handicap </w:t>
      </w:r>
      <w:r w:rsidR="004F39AC">
        <w:t>ainsi qu’</w:t>
      </w:r>
      <w:r>
        <w:t xml:space="preserve">un observatoire de la santé </w:t>
      </w:r>
      <w:r w:rsidR="00C35998">
        <w:t xml:space="preserve">et de l’accès aux soins </w:t>
      </w:r>
      <w:r>
        <w:t>des migrants</w:t>
      </w:r>
    </w:p>
    <w:p w14:paraId="0CFEFA5A" w14:textId="77777777" w:rsidR="001A2597" w:rsidRPr="00036FBE" w:rsidRDefault="001A2597" w:rsidP="008971E4">
      <w:pPr>
        <w:pStyle w:val="Bullet1"/>
      </w:pPr>
      <w:r>
        <w:t>Fournir</w:t>
      </w:r>
      <w:r w:rsidRPr="00036FBE">
        <w:t xml:space="preserve"> annuellement au </w:t>
      </w:r>
      <w:r>
        <w:t>P</w:t>
      </w:r>
      <w:r w:rsidRPr="00036FBE">
        <w:t xml:space="preserve">arlement </w:t>
      </w:r>
      <w:r>
        <w:t xml:space="preserve">des </w:t>
      </w:r>
      <w:r w:rsidRPr="00036FBE">
        <w:t xml:space="preserve">indicateurs relatifs </w:t>
      </w:r>
      <w:r>
        <w:t>à l’accès à la santé des personnes en situation de handicap et en situation de précarité</w:t>
      </w:r>
    </w:p>
    <w:p w14:paraId="793D0032" w14:textId="77777777" w:rsidR="001A2597" w:rsidRDefault="001A2597" w:rsidP="008971E4">
      <w:pPr>
        <w:pStyle w:val="Bullet1"/>
        <w:numPr>
          <w:ilvl w:val="0"/>
          <w:numId w:val="0"/>
        </w:numPr>
        <w:ind w:left="720"/>
      </w:pPr>
    </w:p>
    <w:p w14:paraId="2F4FD9FA" w14:textId="7E114C0E" w:rsidR="00B60376" w:rsidRDefault="00B60376" w:rsidP="008971E4">
      <w:pPr>
        <w:pStyle w:val="Corpsdetexte"/>
        <w:rPr>
          <w:rFonts w:asciiTheme="minorHAnsi" w:hAnsiTheme="minorHAnsi"/>
          <w:color w:val="auto"/>
          <w:sz w:val="56"/>
          <w:highlight w:val="yellow"/>
        </w:rPr>
      </w:pPr>
      <w:r>
        <w:rPr>
          <w:highlight w:val="yellow"/>
        </w:rPr>
        <w:br w:type="page"/>
      </w:r>
    </w:p>
    <w:p w14:paraId="0846C53F" w14:textId="77777777" w:rsidR="0076750E" w:rsidRDefault="0076750E" w:rsidP="0076750E">
      <w:pPr>
        <w:pStyle w:val="Titre1"/>
      </w:pPr>
      <w:bookmarkStart w:id="8" w:name="_Toc519013869"/>
      <w:bookmarkStart w:id="9" w:name="_Toc519014373"/>
      <w:bookmarkStart w:id="10" w:name="_Toc519014875"/>
      <w:bookmarkStart w:id="11" w:name="_Toc519018110"/>
      <w:bookmarkStart w:id="12" w:name="_Toc519018251"/>
      <w:bookmarkStart w:id="13" w:name="_Toc519013870"/>
      <w:bookmarkStart w:id="14" w:name="_Toc519014374"/>
      <w:bookmarkStart w:id="15" w:name="_Toc519014876"/>
      <w:bookmarkStart w:id="16" w:name="_Toc519018111"/>
      <w:bookmarkStart w:id="17" w:name="_Toc519018252"/>
      <w:bookmarkStart w:id="18" w:name="_Toc519013871"/>
      <w:bookmarkStart w:id="19" w:name="_Toc519014375"/>
      <w:bookmarkStart w:id="20" w:name="_Toc519014877"/>
      <w:bookmarkStart w:id="21" w:name="_Toc519018112"/>
      <w:bookmarkStart w:id="22" w:name="_Toc519018253"/>
      <w:bookmarkStart w:id="23" w:name="_Toc519013872"/>
      <w:bookmarkStart w:id="24" w:name="_Toc519014376"/>
      <w:bookmarkStart w:id="25" w:name="_Toc519014878"/>
      <w:bookmarkStart w:id="26" w:name="_Toc519018113"/>
      <w:bookmarkStart w:id="27" w:name="_Toc519018254"/>
      <w:bookmarkStart w:id="28" w:name="_Toc519013873"/>
      <w:bookmarkStart w:id="29" w:name="_Toc519014377"/>
      <w:bookmarkStart w:id="30" w:name="_Toc519014879"/>
      <w:bookmarkStart w:id="31" w:name="_Toc519018114"/>
      <w:bookmarkStart w:id="32" w:name="_Toc519018255"/>
      <w:bookmarkStart w:id="33" w:name="_Toc519013874"/>
      <w:bookmarkStart w:id="34" w:name="_Toc519014378"/>
      <w:bookmarkStart w:id="35" w:name="_Toc519014880"/>
      <w:bookmarkStart w:id="36" w:name="_Toc519018115"/>
      <w:bookmarkStart w:id="37" w:name="_Toc519018256"/>
      <w:bookmarkStart w:id="38" w:name="_Toc519013875"/>
      <w:bookmarkStart w:id="39" w:name="_Toc519014379"/>
      <w:bookmarkStart w:id="40" w:name="_Toc519014881"/>
      <w:bookmarkStart w:id="41" w:name="_Toc519018116"/>
      <w:bookmarkStart w:id="42" w:name="_Toc519018257"/>
      <w:bookmarkStart w:id="43" w:name="_Toc519013876"/>
      <w:bookmarkStart w:id="44" w:name="_Toc519014380"/>
      <w:bookmarkStart w:id="45" w:name="_Toc519014882"/>
      <w:bookmarkStart w:id="46" w:name="_Toc519018117"/>
      <w:bookmarkStart w:id="47" w:name="_Toc519018258"/>
      <w:bookmarkStart w:id="48" w:name="_Toc519013877"/>
      <w:bookmarkStart w:id="49" w:name="_Toc519014381"/>
      <w:bookmarkStart w:id="50" w:name="_Toc519014883"/>
      <w:bookmarkStart w:id="51" w:name="_Toc519018118"/>
      <w:bookmarkStart w:id="52" w:name="_Toc519018259"/>
      <w:bookmarkStart w:id="53" w:name="_Toc519013878"/>
      <w:bookmarkStart w:id="54" w:name="_Toc519014382"/>
      <w:bookmarkStart w:id="55" w:name="_Toc519014884"/>
      <w:bookmarkStart w:id="56" w:name="_Toc519018119"/>
      <w:bookmarkStart w:id="57" w:name="_Toc519018260"/>
      <w:bookmarkStart w:id="58" w:name="_Toc519013879"/>
      <w:bookmarkStart w:id="59" w:name="_Toc519014383"/>
      <w:bookmarkStart w:id="60" w:name="_Toc519014885"/>
      <w:bookmarkStart w:id="61" w:name="_Toc519018120"/>
      <w:bookmarkStart w:id="62" w:name="_Toc519018261"/>
      <w:bookmarkStart w:id="63" w:name="_Toc519013880"/>
      <w:bookmarkStart w:id="64" w:name="_Toc519014384"/>
      <w:bookmarkStart w:id="65" w:name="_Toc519014886"/>
      <w:bookmarkStart w:id="66" w:name="_Toc519018121"/>
      <w:bookmarkStart w:id="67" w:name="_Toc519018262"/>
      <w:bookmarkStart w:id="68" w:name="_Toc519013883"/>
      <w:bookmarkStart w:id="69" w:name="_Toc519014387"/>
      <w:bookmarkStart w:id="70" w:name="_Toc519014889"/>
      <w:bookmarkStart w:id="71" w:name="_Toc519018124"/>
      <w:bookmarkStart w:id="72" w:name="_Toc519018265"/>
      <w:bookmarkStart w:id="73" w:name="_Toc519013884"/>
      <w:bookmarkStart w:id="74" w:name="_Toc519014388"/>
      <w:bookmarkStart w:id="75" w:name="_Toc519014890"/>
      <w:bookmarkStart w:id="76" w:name="_Toc519018125"/>
      <w:bookmarkStart w:id="77" w:name="_Toc519018266"/>
      <w:bookmarkStart w:id="78" w:name="_Toc519013885"/>
      <w:bookmarkStart w:id="79" w:name="_Toc519014389"/>
      <w:bookmarkStart w:id="80" w:name="_Toc519014891"/>
      <w:bookmarkStart w:id="81" w:name="_Toc519018126"/>
      <w:bookmarkStart w:id="82" w:name="_Toc519018267"/>
      <w:bookmarkStart w:id="83" w:name="_Toc519013886"/>
      <w:bookmarkStart w:id="84" w:name="_Toc519014390"/>
      <w:bookmarkStart w:id="85" w:name="_Toc519014892"/>
      <w:bookmarkStart w:id="86" w:name="_Toc519018127"/>
      <w:bookmarkStart w:id="87" w:name="_Toc519018268"/>
      <w:bookmarkStart w:id="88" w:name="_Toc519013887"/>
      <w:bookmarkStart w:id="89" w:name="_Toc519014391"/>
      <w:bookmarkStart w:id="90" w:name="_Toc519014893"/>
      <w:bookmarkStart w:id="91" w:name="_Toc519018128"/>
      <w:bookmarkStart w:id="92" w:name="_Toc519018269"/>
      <w:bookmarkStart w:id="93" w:name="_Toc519013888"/>
      <w:bookmarkStart w:id="94" w:name="_Toc519014392"/>
      <w:bookmarkStart w:id="95" w:name="_Toc519014894"/>
      <w:bookmarkStart w:id="96" w:name="_Toc519018129"/>
      <w:bookmarkStart w:id="97" w:name="_Toc519018270"/>
      <w:bookmarkStart w:id="98" w:name="_Toc519013889"/>
      <w:bookmarkStart w:id="99" w:name="_Toc519014393"/>
      <w:bookmarkStart w:id="100" w:name="_Toc519014895"/>
      <w:bookmarkStart w:id="101" w:name="_Toc519018130"/>
      <w:bookmarkStart w:id="102" w:name="_Toc519018271"/>
      <w:bookmarkStart w:id="103" w:name="_Toc519013890"/>
      <w:bookmarkStart w:id="104" w:name="_Toc519014394"/>
      <w:bookmarkStart w:id="105" w:name="_Toc519014896"/>
      <w:bookmarkStart w:id="106" w:name="_Toc519018131"/>
      <w:bookmarkStart w:id="107" w:name="_Toc519018272"/>
      <w:bookmarkStart w:id="108" w:name="_Toc519013891"/>
      <w:bookmarkStart w:id="109" w:name="_Toc519014395"/>
      <w:bookmarkStart w:id="110" w:name="_Toc519014897"/>
      <w:bookmarkStart w:id="111" w:name="_Toc519018132"/>
      <w:bookmarkStart w:id="112" w:name="_Toc519018273"/>
      <w:bookmarkStart w:id="113" w:name="_Toc519013892"/>
      <w:bookmarkStart w:id="114" w:name="_Toc519014396"/>
      <w:bookmarkStart w:id="115" w:name="_Toc519014898"/>
      <w:bookmarkStart w:id="116" w:name="_Toc519018133"/>
      <w:bookmarkStart w:id="117" w:name="_Toc519018274"/>
      <w:bookmarkStart w:id="118" w:name="_Toc519013893"/>
      <w:bookmarkStart w:id="119" w:name="_Toc519014397"/>
      <w:bookmarkStart w:id="120" w:name="_Toc519014899"/>
      <w:bookmarkStart w:id="121" w:name="_Toc519018134"/>
      <w:bookmarkStart w:id="122" w:name="_Toc519018275"/>
      <w:bookmarkStart w:id="123" w:name="_Toc519013894"/>
      <w:bookmarkStart w:id="124" w:name="_Toc519014398"/>
      <w:bookmarkStart w:id="125" w:name="_Toc519014900"/>
      <w:bookmarkStart w:id="126" w:name="_Toc519018135"/>
      <w:bookmarkStart w:id="127" w:name="_Toc519018276"/>
      <w:bookmarkStart w:id="128" w:name="_Toc519013895"/>
      <w:bookmarkStart w:id="129" w:name="_Toc519014399"/>
      <w:bookmarkStart w:id="130" w:name="_Toc519014901"/>
      <w:bookmarkStart w:id="131" w:name="_Toc519018136"/>
      <w:bookmarkStart w:id="132" w:name="_Toc519018277"/>
      <w:bookmarkStart w:id="133" w:name="_Toc519013896"/>
      <w:bookmarkStart w:id="134" w:name="_Toc519014400"/>
      <w:bookmarkStart w:id="135" w:name="_Toc519014902"/>
      <w:bookmarkStart w:id="136" w:name="_Toc519018137"/>
      <w:bookmarkStart w:id="137" w:name="_Toc519018278"/>
      <w:bookmarkStart w:id="138" w:name="_Toc519013897"/>
      <w:bookmarkStart w:id="139" w:name="_Toc519014401"/>
      <w:bookmarkStart w:id="140" w:name="_Toc519014903"/>
      <w:bookmarkStart w:id="141" w:name="_Toc519018138"/>
      <w:bookmarkStart w:id="142" w:name="_Toc519018279"/>
      <w:bookmarkStart w:id="143" w:name="_Toc519013898"/>
      <w:bookmarkStart w:id="144" w:name="_Toc519014402"/>
      <w:bookmarkStart w:id="145" w:name="_Toc519014904"/>
      <w:bookmarkStart w:id="146" w:name="_Toc519018139"/>
      <w:bookmarkStart w:id="147" w:name="_Toc519018280"/>
      <w:bookmarkStart w:id="148" w:name="_Toc519013899"/>
      <w:bookmarkStart w:id="149" w:name="_Toc519014403"/>
      <w:bookmarkStart w:id="150" w:name="_Toc519014905"/>
      <w:bookmarkStart w:id="151" w:name="_Toc519018140"/>
      <w:bookmarkStart w:id="152" w:name="_Toc519018281"/>
      <w:bookmarkStart w:id="153" w:name="_Toc519013900"/>
      <w:bookmarkStart w:id="154" w:name="_Toc519014404"/>
      <w:bookmarkStart w:id="155" w:name="_Toc519014906"/>
      <w:bookmarkStart w:id="156" w:name="_Toc519018141"/>
      <w:bookmarkStart w:id="157" w:name="_Toc519018282"/>
      <w:bookmarkStart w:id="158" w:name="_Toc519013901"/>
      <w:bookmarkStart w:id="159" w:name="_Toc519014405"/>
      <w:bookmarkStart w:id="160" w:name="_Toc519014907"/>
      <w:bookmarkStart w:id="161" w:name="_Toc519018142"/>
      <w:bookmarkStart w:id="162" w:name="_Toc519018283"/>
      <w:bookmarkStart w:id="163" w:name="_Toc519013902"/>
      <w:bookmarkStart w:id="164" w:name="_Toc519014406"/>
      <w:bookmarkStart w:id="165" w:name="_Toc519014908"/>
      <w:bookmarkStart w:id="166" w:name="_Toc519018143"/>
      <w:bookmarkStart w:id="167" w:name="_Toc519018284"/>
      <w:bookmarkStart w:id="168" w:name="_Toc519013903"/>
      <w:bookmarkStart w:id="169" w:name="_Toc519014407"/>
      <w:bookmarkStart w:id="170" w:name="_Toc519014909"/>
      <w:bookmarkStart w:id="171" w:name="_Toc519018144"/>
      <w:bookmarkStart w:id="172" w:name="_Toc519018285"/>
      <w:bookmarkStart w:id="173" w:name="_Toc519013904"/>
      <w:bookmarkStart w:id="174" w:name="_Toc519014408"/>
      <w:bookmarkStart w:id="175" w:name="_Toc519014910"/>
      <w:bookmarkStart w:id="176" w:name="_Toc519018145"/>
      <w:bookmarkStart w:id="177" w:name="_Toc519018286"/>
      <w:bookmarkStart w:id="178" w:name="_Toc519013905"/>
      <w:bookmarkStart w:id="179" w:name="_Toc519014409"/>
      <w:bookmarkStart w:id="180" w:name="_Toc519014911"/>
      <w:bookmarkStart w:id="181" w:name="_Toc519018146"/>
      <w:bookmarkStart w:id="182" w:name="_Toc519018287"/>
      <w:bookmarkStart w:id="183" w:name="_Toc519013906"/>
      <w:bookmarkStart w:id="184" w:name="_Toc519014410"/>
      <w:bookmarkStart w:id="185" w:name="_Toc519014912"/>
      <w:bookmarkStart w:id="186" w:name="_Toc519018147"/>
      <w:bookmarkStart w:id="187" w:name="_Toc519018288"/>
      <w:bookmarkStart w:id="188" w:name="_Toc519013907"/>
      <w:bookmarkStart w:id="189" w:name="_Toc519014411"/>
      <w:bookmarkStart w:id="190" w:name="_Toc519014913"/>
      <w:bookmarkStart w:id="191" w:name="_Toc519018148"/>
      <w:bookmarkStart w:id="192" w:name="_Toc519018289"/>
      <w:bookmarkStart w:id="193" w:name="_Toc519013908"/>
      <w:bookmarkStart w:id="194" w:name="_Toc519014412"/>
      <w:bookmarkStart w:id="195" w:name="_Toc519014914"/>
      <w:bookmarkStart w:id="196" w:name="_Toc519018149"/>
      <w:bookmarkStart w:id="197" w:name="_Toc519018290"/>
      <w:bookmarkStart w:id="198" w:name="_Toc519013909"/>
      <w:bookmarkStart w:id="199" w:name="_Toc519014413"/>
      <w:bookmarkStart w:id="200" w:name="_Toc519014915"/>
      <w:bookmarkStart w:id="201" w:name="_Toc519018150"/>
      <w:bookmarkStart w:id="202" w:name="_Toc519018291"/>
      <w:bookmarkStart w:id="203" w:name="_Toc519013910"/>
      <w:bookmarkStart w:id="204" w:name="_Toc519014414"/>
      <w:bookmarkStart w:id="205" w:name="_Toc519014916"/>
      <w:bookmarkStart w:id="206" w:name="_Toc519018151"/>
      <w:bookmarkStart w:id="207" w:name="_Toc519018292"/>
      <w:bookmarkStart w:id="208" w:name="_Toc519013911"/>
      <w:bookmarkStart w:id="209" w:name="_Toc519014415"/>
      <w:bookmarkStart w:id="210" w:name="_Toc519014917"/>
      <w:bookmarkStart w:id="211" w:name="_Toc519018152"/>
      <w:bookmarkStart w:id="212" w:name="_Toc519018293"/>
      <w:bookmarkStart w:id="213" w:name="_Toc519013912"/>
      <w:bookmarkStart w:id="214" w:name="_Toc519014416"/>
      <w:bookmarkStart w:id="215" w:name="_Toc519014918"/>
      <w:bookmarkStart w:id="216" w:name="_Toc519018153"/>
      <w:bookmarkStart w:id="217" w:name="_Toc519018294"/>
      <w:bookmarkStart w:id="218" w:name="_Toc519013913"/>
      <w:bookmarkStart w:id="219" w:name="_Toc519014417"/>
      <w:bookmarkStart w:id="220" w:name="_Toc519014919"/>
      <w:bookmarkStart w:id="221" w:name="_Toc519018154"/>
      <w:bookmarkStart w:id="222" w:name="_Toc519018295"/>
      <w:bookmarkStart w:id="223" w:name="_Toc519013914"/>
      <w:bookmarkStart w:id="224" w:name="_Toc519014418"/>
      <w:bookmarkStart w:id="225" w:name="_Toc519014920"/>
      <w:bookmarkStart w:id="226" w:name="_Toc519018155"/>
      <w:bookmarkStart w:id="227" w:name="_Toc519018296"/>
      <w:bookmarkStart w:id="228" w:name="_Toc519013915"/>
      <w:bookmarkStart w:id="229" w:name="_Toc519014419"/>
      <w:bookmarkStart w:id="230" w:name="_Toc519014921"/>
      <w:bookmarkStart w:id="231" w:name="_Toc519018156"/>
      <w:bookmarkStart w:id="232" w:name="_Toc519018297"/>
      <w:bookmarkStart w:id="233" w:name="_Toc519013916"/>
      <w:bookmarkStart w:id="234" w:name="_Toc519014420"/>
      <w:bookmarkStart w:id="235" w:name="_Toc519014922"/>
      <w:bookmarkStart w:id="236" w:name="_Toc519018157"/>
      <w:bookmarkStart w:id="237" w:name="_Toc519018298"/>
      <w:bookmarkStart w:id="238" w:name="_Toc519013917"/>
      <w:bookmarkStart w:id="239" w:name="_Toc519014421"/>
      <w:bookmarkStart w:id="240" w:name="_Toc519014923"/>
      <w:bookmarkStart w:id="241" w:name="_Toc519018158"/>
      <w:bookmarkStart w:id="242" w:name="_Toc519018299"/>
      <w:bookmarkStart w:id="243" w:name="_Toc519013918"/>
      <w:bookmarkStart w:id="244" w:name="_Toc519014422"/>
      <w:bookmarkStart w:id="245" w:name="_Toc519014924"/>
      <w:bookmarkStart w:id="246" w:name="_Toc519018159"/>
      <w:bookmarkStart w:id="247" w:name="_Toc519018300"/>
      <w:bookmarkStart w:id="248" w:name="_Toc519013919"/>
      <w:bookmarkStart w:id="249" w:name="_Toc519014423"/>
      <w:bookmarkStart w:id="250" w:name="_Toc519014925"/>
      <w:bookmarkStart w:id="251" w:name="_Toc519018160"/>
      <w:bookmarkStart w:id="252" w:name="_Toc519018301"/>
      <w:bookmarkStart w:id="253" w:name="_Toc519013920"/>
      <w:bookmarkStart w:id="254" w:name="_Toc519014424"/>
      <w:bookmarkStart w:id="255" w:name="_Toc519014926"/>
      <w:bookmarkStart w:id="256" w:name="_Toc519018161"/>
      <w:bookmarkStart w:id="257" w:name="_Toc519018302"/>
      <w:bookmarkStart w:id="258" w:name="_Toc519013921"/>
      <w:bookmarkStart w:id="259" w:name="_Toc519014425"/>
      <w:bookmarkStart w:id="260" w:name="_Toc519014927"/>
      <w:bookmarkStart w:id="261" w:name="_Toc519018162"/>
      <w:bookmarkStart w:id="262" w:name="_Toc519018303"/>
      <w:bookmarkStart w:id="263" w:name="_Toc518896242"/>
      <w:bookmarkStart w:id="264" w:name="_Toc52332766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lastRenderedPageBreak/>
        <w:t>Cadrage et méthode</w:t>
      </w:r>
      <w:bookmarkEnd w:id="263"/>
      <w:bookmarkEnd w:id="264"/>
    </w:p>
    <w:p w14:paraId="1E09C327" w14:textId="77777777" w:rsidR="003754BF" w:rsidRDefault="0076750E" w:rsidP="0076750E">
      <w:pPr>
        <w:pStyle w:val="Titre2"/>
      </w:pPr>
      <w:bookmarkStart w:id="265" w:name="_Toc518896243"/>
      <w:bookmarkStart w:id="266" w:name="_Toc523327667"/>
      <w:r>
        <w:lastRenderedPageBreak/>
        <w:t>La commande</w:t>
      </w:r>
      <w:bookmarkEnd w:id="265"/>
      <w:bookmarkEnd w:id="266"/>
    </w:p>
    <w:p w14:paraId="77906AA8" w14:textId="77777777" w:rsidR="00C55C6E" w:rsidRDefault="00C55C6E" w:rsidP="00C55C6E">
      <w:pPr>
        <w:pStyle w:val="Corpsdetexte"/>
      </w:pPr>
      <w:r>
        <w:t>Par lettre de mission du 9 avril 2018, la Ministre des solidarités et de la santé et la Secrétaire d’Etat auprès du Pr</w:t>
      </w:r>
      <w:r>
        <w:t>e</w:t>
      </w:r>
      <w:r>
        <w:t>mier ministre chargée des personnes handicapées nous ont confié la mission d’établir des propositions susceptibles d’améliorer la situation en matière d’accès aux droits de santé, d’accès aux soins et aux actions de prévention des personnes en situation de handicap et des personnes en situation de précarité. Il s’agit d’alimenter un rapport du Gouvernement au Parlement inscrit en loi de financement de la sécurité sociale pour 2018. Ce ra</w:t>
      </w:r>
      <w:r>
        <w:t>p</w:t>
      </w:r>
      <w:r>
        <w:t xml:space="preserve">port porte « notamment sur les restes à charge en santé liés au handicap, le niveau des avances de frais et le renoncement aux soins pour motifs financier ». </w:t>
      </w:r>
    </w:p>
    <w:p w14:paraId="7A58B7C6" w14:textId="52BB684E" w:rsidR="00C55C6E" w:rsidRDefault="00C55C6E" w:rsidP="00C55C6E">
      <w:pPr>
        <w:pStyle w:val="Corpsdetexte"/>
      </w:pPr>
      <w:r>
        <w:t xml:space="preserve">Les besoins en soins courants sont plus fréquemment insatisfaits pour les personnes en situation de handicap ou en situation de précarité, en particulier </w:t>
      </w:r>
      <w:r w:rsidR="009977CD">
        <w:t xml:space="preserve">s’agissant </w:t>
      </w:r>
      <w:r>
        <w:t>des actions de prévention et des soins dont l’absence peut se traduire par une détérioration de l’état de santé général. Il en est ainsi en particulier des soins bucco-dentaires, auxquels ces populations recourent beaucoup moins que la population générale, mais également des soins gynéc</w:t>
      </w:r>
      <w:r>
        <w:t>o</w:t>
      </w:r>
      <w:r>
        <w:t>logiques, ophtalmologiques, cardio-vascul</w:t>
      </w:r>
      <w:r w:rsidR="009515B0">
        <w:t>aires, psychiques, etc.</w:t>
      </w:r>
    </w:p>
    <w:p w14:paraId="388F13CD" w14:textId="049445C1" w:rsidR="00C55C6E" w:rsidRDefault="00C55C6E" w:rsidP="00C55C6E">
      <w:pPr>
        <w:pStyle w:val="Corpsdetexte"/>
      </w:pPr>
      <w:r>
        <w:t>L’amélioration du parcours de soins des personnes en situation de handicap a récemment été réaffirmée comme une priorité lors du comité interministériel du handicap (CIH) du 20 septembre 2017. L’accès aux soins des pe</w:t>
      </w:r>
      <w:r>
        <w:t>r</w:t>
      </w:r>
      <w:r>
        <w:t xml:space="preserve">sonnes les plus modestes constitue également une priorité de politique publique. Après plusieurs plans successifs de lutte contre la </w:t>
      </w:r>
      <w:r w:rsidR="00A91DEF">
        <w:t>pauvreté,</w:t>
      </w:r>
      <w:r>
        <w:t xml:space="preserve"> le gouvernement a nommé un délégué interministériel en charge d’établir une strat</w:t>
      </w:r>
      <w:r>
        <w:t>é</w:t>
      </w:r>
      <w:r>
        <w:t>gie nationale de prévention et de lutte contre la pauvreté des enfants et des jeunes, dont l’accès à la santé</w:t>
      </w:r>
      <w:r w:rsidR="009515B0">
        <w:t xml:space="preserve"> constitue un axe fondamental. </w:t>
      </w:r>
    </w:p>
    <w:p w14:paraId="63F77676" w14:textId="77777777" w:rsidR="00C55C6E" w:rsidRDefault="00C55C6E" w:rsidP="00C55C6E">
      <w:pPr>
        <w:pStyle w:val="Corpsdetexte"/>
      </w:pPr>
      <w:r>
        <w:t>Surtout, le présent rapport s’inscrit dans l’esprit de la stratégie nationale de santé, qui vise à préserver et faire fructifier le « capital-santé » de tous, avec l’ambition « inclusive » de ne pas laisser les personnes fragiles</w:t>
      </w:r>
      <w:r w:rsidR="009515B0">
        <w:t xml:space="preserve"> en dehors du système de santé.</w:t>
      </w:r>
    </w:p>
    <w:p w14:paraId="278888A7" w14:textId="041A528A" w:rsidR="00C55C6E" w:rsidRDefault="00C55C6E" w:rsidP="00C55C6E">
      <w:pPr>
        <w:pStyle w:val="Corpsdetexte"/>
      </w:pPr>
      <w:r>
        <w:t xml:space="preserve">Si le périmètre de la mission peut paraître en première approche « </w:t>
      </w:r>
      <w:r w:rsidR="00D660D9">
        <w:t xml:space="preserve">double </w:t>
      </w:r>
      <w:r>
        <w:t>» parce qu’il concerne l’examen des freins à l’accès aux soins de deux populations qui présentent des particularités propres, les obstacles et les r</w:t>
      </w:r>
      <w:r>
        <w:t>e</w:t>
      </w:r>
      <w:r>
        <w:t>mèdes apparaissent pou</w:t>
      </w:r>
      <w:r w:rsidR="00D6313A">
        <w:t xml:space="preserve">r autant largement similaires. </w:t>
      </w:r>
      <w:r>
        <w:t>L’étiologie des difficultés d’accès aux droits, aux soins et à la prévention de ces deux populations renvoie ainsi à des facteurs communs : renoncement aux soins pour raisons financières, difficultés d’accès à l’offre de soins, complexité du système, cloisonnement des financements de l’offre de soins, insuffisance des moyens financiers</w:t>
      </w:r>
      <w:r w:rsidR="009515B0">
        <w:t xml:space="preserve"> dédiés à l’accès à la santé, </w:t>
      </w:r>
      <w:r w:rsidR="00B46142">
        <w:t>etc.</w:t>
      </w:r>
    </w:p>
    <w:p w14:paraId="3BEF24D7" w14:textId="01800D5A" w:rsidR="00C55C6E" w:rsidRDefault="00C55C6E" w:rsidP="00C55C6E">
      <w:pPr>
        <w:pStyle w:val="Corpsdetexte"/>
      </w:pPr>
      <w:r>
        <w:t>Enfin, les remèdes pour améliorer l’accès à la santé des personnes en situation de handicap ou de précarité refl</w:t>
      </w:r>
      <w:r>
        <w:t>è</w:t>
      </w:r>
      <w:r>
        <w:t xml:space="preserve">tent les enjeux auxquels est confronté notre système de santé actuel. Ils ne renvoient pas seulement à la nécessité d’une approche plus inclusive du système de santé, attentive aux inégalités de santé. Les propositions </w:t>
      </w:r>
      <w:r w:rsidR="009977CD">
        <w:t xml:space="preserve">présentées dans ce rapport </w:t>
      </w:r>
      <w:r>
        <w:t xml:space="preserve">sont susceptibles de préfigurer </w:t>
      </w:r>
      <w:r w:rsidR="009977CD">
        <w:t xml:space="preserve">pour certaines </w:t>
      </w:r>
      <w:r>
        <w:t>ce que pourraient être les solutions pour faire év</w:t>
      </w:r>
      <w:r>
        <w:t>o</w:t>
      </w:r>
      <w:r>
        <w:t xml:space="preserve">luer notre système de santé. </w:t>
      </w:r>
    </w:p>
    <w:p w14:paraId="60653275" w14:textId="77777777" w:rsidR="00C55C6E" w:rsidRPr="00C55C6E" w:rsidRDefault="00C55C6E" w:rsidP="00C55C6E">
      <w:pPr>
        <w:pStyle w:val="Corpsdetexte"/>
      </w:pPr>
    </w:p>
    <w:p w14:paraId="254D90FE" w14:textId="6E2FE87D" w:rsidR="004D0485" w:rsidRPr="004D0485" w:rsidRDefault="009515B0" w:rsidP="004D0485">
      <w:pPr>
        <w:pStyle w:val="Titre2"/>
        <w:rPr>
          <w:bCs/>
        </w:rPr>
      </w:pPr>
      <w:bookmarkStart w:id="267" w:name="_Toc523327668"/>
      <w:r w:rsidRPr="009515B0">
        <w:lastRenderedPageBreak/>
        <w:t>Le constat : les obstacles à l’</w:t>
      </w:r>
      <w:r w:rsidR="0073476B">
        <w:t xml:space="preserve">accès aux droits et à la santé : </w:t>
      </w:r>
      <w:r w:rsidRPr="009515B0">
        <w:t>une réalité</w:t>
      </w:r>
      <w:r w:rsidR="002267B4">
        <w:t xml:space="preserve"> confirmée</w:t>
      </w:r>
      <w:r w:rsidRPr="009515B0">
        <w:t xml:space="preserve"> </w:t>
      </w:r>
      <w:r w:rsidR="00AD2D13">
        <w:t>mais des inconnues</w:t>
      </w:r>
      <w:bookmarkEnd w:id="267"/>
      <w:r w:rsidR="004D0485" w:rsidRPr="004D0485">
        <w:rPr>
          <w:bCs/>
        </w:rPr>
        <w:t> </w:t>
      </w:r>
    </w:p>
    <w:p w14:paraId="2BC015A0" w14:textId="77777777" w:rsidR="00D423ED" w:rsidRPr="00D423ED" w:rsidRDefault="00D423ED" w:rsidP="00D423ED">
      <w:pPr>
        <w:pStyle w:val="Corpsdetexte"/>
      </w:pPr>
      <w:r w:rsidRPr="00D423ED">
        <w:t>Le présent rapport expose de manière synthétique les constats déjà étayés par de nombreuses études ou rapports</w:t>
      </w:r>
      <w:r w:rsidRPr="00D423ED">
        <w:rPr>
          <w:vertAlign w:val="superscript"/>
        </w:rPr>
        <w:footnoteReference w:id="3"/>
      </w:r>
      <w:r w:rsidRPr="00D423ED">
        <w:t xml:space="preserve"> sur les difficultés d’accès au droit à une couverture maladie (prérequis à l’accès aux soins et à la prévention) et sur les causes du plus faible accès aux soins somatiques, psychiques ou bucco-dentaires des personnes handicapées et des personnes démunies. </w:t>
      </w:r>
    </w:p>
    <w:p w14:paraId="030A5B31" w14:textId="00DD271E" w:rsidR="00D423ED" w:rsidRPr="00D423ED" w:rsidRDefault="00D423ED" w:rsidP="00D423ED">
      <w:pPr>
        <w:pStyle w:val="Corpsdetexte"/>
      </w:pPr>
      <w:r w:rsidRPr="00D423ED">
        <w:rPr>
          <w:bCs/>
        </w:rPr>
        <w:t xml:space="preserve">Il identifie ensuite pour les deux populations les bonnes pratiques, souvent </w:t>
      </w:r>
      <w:r w:rsidR="00262111">
        <w:rPr>
          <w:bCs/>
        </w:rPr>
        <w:t>semblables</w:t>
      </w:r>
      <w:r w:rsidRPr="00D423ED">
        <w:rPr>
          <w:bCs/>
        </w:rPr>
        <w:t>, qui sont en cours et trace des voies de solution tantôt communes, tantôt spécifiques, aux obstacles identifiés.</w:t>
      </w:r>
    </w:p>
    <w:p w14:paraId="3F5925E4" w14:textId="3F32591B" w:rsidR="00D423ED" w:rsidRPr="00D423ED" w:rsidRDefault="00D423ED" w:rsidP="00D423ED">
      <w:pPr>
        <w:pStyle w:val="Corpsdetexte"/>
        <w:rPr>
          <w:bCs/>
        </w:rPr>
      </w:pPr>
      <w:r w:rsidRPr="00D423ED">
        <w:rPr>
          <w:bCs/>
        </w:rPr>
        <w:t>Sur le handicap, le rapport de l’IRDES paru en juin 2015</w:t>
      </w:r>
      <w:r w:rsidR="009977CD">
        <w:rPr>
          <w:rStyle w:val="Appelnotedebasdep"/>
          <w:bCs/>
        </w:rPr>
        <w:footnoteReference w:id="4"/>
      </w:r>
      <w:r w:rsidRPr="00D423ED">
        <w:rPr>
          <w:bCs/>
        </w:rPr>
        <w:t xml:space="preserve"> sur l’accès aux soins courants curatifs et préventifs des personnes en situation de handicap en France confirme les diagnostics déjà établis par la Haute </w:t>
      </w:r>
      <w:r w:rsidR="008D6BD4">
        <w:rPr>
          <w:bCs/>
        </w:rPr>
        <w:t>A</w:t>
      </w:r>
      <w:r w:rsidRPr="00D423ED">
        <w:rPr>
          <w:bCs/>
        </w:rPr>
        <w:t>utorité de santé (HAS) en 2008, par Pascal Jacob dans son rapport de 2013 et Denis Piveteau dans son rapport « Zéro sans sol</w:t>
      </w:r>
      <w:r w:rsidRPr="00D423ED">
        <w:rPr>
          <w:bCs/>
        </w:rPr>
        <w:t>u</w:t>
      </w:r>
      <w:r w:rsidRPr="00D423ED">
        <w:rPr>
          <w:bCs/>
        </w:rPr>
        <w:t>tions » de 2014</w:t>
      </w:r>
      <w:r w:rsidR="001B6E93">
        <w:rPr>
          <w:bCs/>
        </w:rPr>
        <w:t xml:space="preserve"> </w:t>
      </w:r>
      <w:r w:rsidR="002D1964">
        <w:rPr>
          <w:bCs/>
        </w:rPr>
        <w:t xml:space="preserve">ainsi que par </w:t>
      </w:r>
      <w:r w:rsidR="001B6E93">
        <w:rPr>
          <w:bCs/>
        </w:rPr>
        <w:t>le guide d’amélioration des pratiques professionnelles de la HAS de juillet 2017</w:t>
      </w:r>
      <w:r w:rsidR="00880979">
        <w:rPr>
          <w:bCs/>
        </w:rPr>
        <w:t>.</w:t>
      </w:r>
      <w:r w:rsidR="001B6E93">
        <w:rPr>
          <w:bCs/>
        </w:rPr>
        <w:t xml:space="preserve"> </w:t>
      </w:r>
    </w:p>
    <w:p w14:paraId="5A0F736C" w14:textId="099124EC" w:rsidR="00D423ED" w:rsidRPr="00D423ED" w:rsidRDefault="00D423ED" w:rsidP="00D423ED">
      <w:pPr>
        <w:pStyle w:val="Corpsdetexte"/>
      </w:pPr>
      <w:r w:rsidRPr="00D423ED">
        <w:t xml:space="preserve">Dans le domaine de la précarité, les obstacles rencontrés dans l’accès aux droits et aux soins sont évalués tous les deux ans par le Fonds CMU-C dans le cadre de l’obligation d’évaluation de la loi portant création de la </w:t>
      </w:r>
      <w:r w:rsidR="007B4A96">
        <w:t>couverture maladie universelle (</w:t>
      </w:r>
      <w:r w:rsidRPr="00D423ED">
        <w:t>CMU</w:t>
      </w:r>
      <w:r w:rsidR="007B4A96">
        <w:t>)</w:t>
      </w:r>
      <w:r w:rsidRPr="00D423ED">
        <w:t>. Ils ont par ailleurs fait l’objet de rapports et d’études variés, tels que le rapport A</w:t>
      </w:r>
      <w:r w:rsidRPr="00D423ED">
        <w:t>r</w:t>
      </w:r>
      <w:r w:rsidRPr="00D423ED">
        <w:t>chimbaud « 40 propositions pour un choc de solidarité » de 2013, les études de l’IRDES réalisées à partir de l’enquête santé et protection sociale (ESPS), et des études consacrées à l’accès aux soins des personnes sans dom</w:t>
      </w:r>
      <w:r w:rsidRPr="00D423ED">
        <w:t>i</w:t>
      </w:r>
      <w:r w:rsidRPr="00D423ED">
        <w:t xml:space="preserve">ciliation fixe (migrants, SDF, </w:t>
      </w:r>
      <w:r w:rsidR="00B46142">
        <w:t>etc.</w:t>
      </w:r>
      <w:r w:rsidRPr="00D423ED">
        <w:t>)</w:t>
      </w:r>
      <w:r w:rsidRPr="00D423ED">
        <w:rPr>
          <w:vertAlign w:val="superscript"/>
        </w:rPr>
        <w:footnoteReference w:id="5"/>
      </w:r>
      <w:r w:rsidRPr="00D423ED">
        <w:t xml:space="preserve">. </w:t>
      </w:r>
    </w:p>
    <w:p w14:paraId="1DCBCDAE" w14:textId="204234F3" w:rsidR="00D423ED" w:rsidRPr="00D423ED" w:rsidRDefault="00D423ED" w:rsidP="00D423ED">
      <w:pPr>
        <w:pStyle w:val="Corpsdetexte"/>
      </w:pPr>
      <w:r w:rsidRPr="00D423ED">
        <w:t xml:space="preserve">L’ensemble de ces </w:t>
      </w:r>
      <w:r w:rsidR="002D1964">
        <w:t>travaux</w:t>
      </w:r>
      <w:r w:rsidRPr="00D423ED">
        <w:t xml:space="preserve"> mettent en avant les difficultés d'accès et de continuité des soins courants pour les personnes en situation de handicap ou de précarité pour des raisons financières, pour des raisons tenant à </w:t>
      </w:r>
      <w:r w:rsidR="00DF46E5">
        <w:t>la co</w:t>
      </w:r>
      <w:r w:rsidR="00DF46E5">
        <w:t>m</w:t>
      </w:r>
      <w:r w:rsidR="00DF46E5">
        <w:t xml:space="preserve">plexité d’accès à une couverture santé, à </w:t>
      </w:r>
      <w:r w:rsidRPr="00D423ED">
        <w:t>l'offre de soins, aux pratiques professionnelles, à l'appréhension des soins par les personnes ou leur entourage</w:t>
      </w:r>
      <w:r w:rsidR="00B46142">
        <w:t>, etc.</w:t>
      </w:r>
      <w:r w:rsidRPr="00D423ED">
        <w:t xml:space="preserve"> Ces raisons peuvent induire un renoncement aux soins, des retards et des besoins de soins alourdis du fait d'un état de santé altéré</w:t>
      </w:r>
      <w:r w:rsidR="002D1964">
        <w:t>,</w:t>
      </w:r>
      <w:r w:rsidRPr="00D423ED">
        <w:t xml:space="preserve"> qui constituent une réelle dégradation de la qualité du parcours de soins et de vie.</w:t>
      </w:r>
    </w:p>
    <w:p w14:paraId="6F5AB509" w14:textId="46497F50" w:rsidR="000742D4" w:rsidRDefault="00D423ED" w:rsidP="00D423ED">
      <w:pPr>
        <w:pStyle w:val="Corpsdetexte"/>
      </w:pPr>
      <w:r w:rsidRPr="00D423ED">
        <w:t>Entre</w:t>
      </w:r>
      <w:r w:rsidR="00DF46E5" w:rsidRPr="0075137A">
        <w:t xml:space="preserve"> 24% et 36%</w:t>
      </w:r>
      <w:r w:rsidR="00DF46E5">
        <w:t xml:space="preserve"> </w:t>
      </w:r>
      <w:r w:rsidRPr="00D423ED">
        <w:t xml:space="preserve">de personnes pauvres qui pourraient bénéficier d’une couverture maladie gratuite </w:t>
      </w:r>
      <w:r w:rsidRPr="00181084">
        <w:rPr>
          <w:i/>
        </w:rPr>
        <w:t>via</w:t>
      </w:r>
      <w:r w:rsidRPr="00D423ED">
        <w:t xml:space="preserve"> la </w:t>
      </w:r>
      <w:r w:rsidR="00506670">
        <w:t>couve</w:t>
      </w:r>
      <w:r w:rsidR="00506670">
        <w:t>r</w:t>
      </w:r>
      <w:r w:rsidR="00506670">
        <w:t>ture maladie universelle complémentaire (</w:t>
      </w:r>
      <w:r w:rsidRPr="00D423ED">
        <w:t>CMU</w:t>
      </w:r>
      <w:r w:rsidRPr="00D423ED">
        <w:softHyphen/>
      </w:r>
      <w:r w:rsidRPr="00D423ED">
        <w:noBreakHyphen/>
        <w:t>C</w:t>
      </w:r>
      <w:r w:rsidR="00506670">
        <w:t>)</w:t>
      </w:r>
      <w:r w:rsidRPr="00D423ED">
        <w:t xml:space="preserve"> n’y ont pas recours</w:t>
      </w:r>
      <w:r w:rsidR="00DF46E5">
        <w:t xml:space="preserve"> </w:t>
      </w:r>
      <w:r w:rsidR="00DF46E5" w:rsidRPr="0075137A">
        <w:t>(soit entre 1,5 et 2,8 m</w:t>
      </w:r>
      <w:r w:rsidR="00DF46E5">
        <w:t>illions de personnes pauvres</w:t>
      </w:r>
      <w:r w:rsidR="00DF46E5" w:rsidRPr="0075137A">
        <w:rPr>
          <w:vertAlign w:val="superscript"/>
        </w:rPr>
        <w:footnoteReference w:id="6"/>
      </w:r>
      <w:r w:rsidR="00DF46E5">
        <w:t>).</w:t>
      </w:r>
    </w:p>
    <w:p w14:paraId="45A3F25C" w14:textId="77777777" w:rsidR="001446C1" w:rsidRPr="0075137A" w:rsidRDefault="001446C1" w:rsidP="001446C1">
      <w:pPr>
        <w:pStyle w:val="Corpsdetexte"/>
      </w:pPr>
      <w:r w:rsidRPr="0075137A">
        <w:t>Si les explications du non recours à la CMU-C sont multiples, la « non demande »</w:t>
      </w:r>
      <w:r w:rsidRPr="0075137A">
        <w:rPr>
          <w:vertAlign w:val="superscript"/>
        </w:rPr>
        <w:footnoteReference w:id="7"/>
      </w:r>
      <w:r w:rsidRPr="0075137A">
        <w:t xml:space="preserve"> en raison de la complexité des démarches en est le facteur principal. L’absence de connaissance du dispositif et de ses conditions d’accès const</w:t>
      </w:r>
      <w:r w:rsidRPr="0075137A">
        <w:t>i</w:t>
      </w:r>
      <w:r w:rsidRPr="0075137A">
        <w:t>tue aussi un facteur de non recours pour certaines populations (jeunes les plus précaires, personnes isolées).</w:t>
      </w:r>
      <w:r>
        <w:t xml:space="preserve"> </w:t>
      </w:r>
    </w:p>
    <w:p w14:paraId="3D9596DA" w14:textId="3282F25A" w:rsidR="001446C1" w:rsidRPr="0075137A" w:rsidRDefault="001446C1" w:rsidP="001446C1">
      <w:pPr>
        <w:pStyle w:val="Corpsdetexte"/>
      </w:pPr>
      <w:r w:rsidRPr="0075137A">
        <w:t>La proportion de personnes non recourantes à l’</w:t>
      </w:r>
      <w:r>
        <w:t>a</w:t>
      </w:r>
      <w:r w:rsidRPr="0075137A">
        <w:t xml:space="preserve">ide à la complémentaire santé </w:t>
      </w:r>
      <w:r>
        <w:t xml:space="preserve">(ACS) </w:t>
      </w:r>
      <w:r w:rsidRPr="0075137A">
        <w:t>est encore plus importante : selon les estimations de la</w:t>
      </w:r>
      <w:r w:rsidR="008D6BD4" w:rsidRPr="008D6BD4">
        <w:t xml:space="preserve"> Direction de la recherche, des études, de l'évaluation et des statistiques</w:t>
      </w:r>
      <w:r w:rsidRPr="0075137A">
        <w:t xml:space="preserve"> </w:t>
      </w:r>
      <w:r w:rsidR="008D6BD4">
        <w:t>(</w:t>
      </w:r>
      <w:r w:rsidR="007B4A96" w:rsidRPr="0075137A">
        <w:t>D</w:t>
      </w:r>
      <w:r w:rsidR="007B4A96">
        <w:t>REES</w:t>
      </w:r>
      <w:r w:rsidR="008D6BD4">
        <w:t>)</w:t>
      </w:r>
      <w:r w:rsidRPr="0075137A">
        <w:t xml:space="preserve">, </w:t>
      </w:r>
      <w:r w:rsidR="00BF7FEF">
        <w:t>entre 49</w:t>
      </w:r>
      <w:r w:rsidRPr="0075137A">
        <w:t xml:space="preserve">% </w:t>
      </w:r>
      <w:r w:rsidR="00BF7FEF">
        <w:t xml:space="preserve">et 64% </w:t>
      </w:r>
      <w:r w:rsidRPr="0075137A">
        <w:t xml:space="preserve">des personnes éligibles n’ont pas </w:t>
      </w:r>
      <w:r>
        <w:t>recouru au dispositif en 2016</w:t>
      </w:r>
      <w:r w:rsidR="00BF7FEF">
        <w:t xml:space="preserve"> (soit entre 1 et </w:t>
      </w:r>
      <w:r w:rsidR="00BF7FEF" w:rsidRPr="001B7F00">
        <w:t>2,3 millions de pe</w:t>
      </w:r>
      <w:r w:rsidR="00BF7FEF" w:rsidRPr="001B7F00">
        <w:t>r</w:t>
      </w:r>
      <w:r w:rsidR="00BF7FEF" w:rsidRPr="001B7F00">
        <w:t>sonnes</w:t>
      </w:r>
      <w:r w:rsidR="00BF7FEF">
        <w:t>)</w:t>
      </w:r>
      <w:r>
        <w:t>. Ce non-recours s’explique par une absence de connaissance du dispositif, par la complexité des démarches administratives pour y avoir accès mais surtout par l’existence de restes à charge potentiellement i</w:t>
      </w:r>
      <w:r>
        <w:t>m</w:t>
      </w:r>
      <w:r>
        <w:t>portants sur certains soins courants tels que l’optique, les soins prothétiques dentaires et l’audiologie.</w:t>
      </w:r>
    </w:p>
    <w:p w14:paraId="2E9E3EB7" w14:textId="3CB4BEB0" w:rsidR="00D423ED" w:rsidRPr="00D423ED" w:rsidRDefault="00BF7FEF" w:rsidP="00D423ED">
      <w:pPr>
        <w:pStyle w:val="Corpsdetexte"/>
      </w:pPr>
      <w:r>
        <w:lastRenderedPageBreak/>
        <w:t>De plus, m</w:t>
      </w:r>
      <w:r w:rsidR="00D423ED" w:rsidRPr="00D423ED">
        <w:t>algré la gratuité des soins, un bénéficiaire de la CMU-C sur trois déclare avoir renoncé à au moins un soin pour des raisons financières</w:t>
      </w:r>
      <w:r w:rsidR="00D423ED" w:rsidRPr="00D423ED">
        <w:rPr>
          <w:vertAlign w:val="superscript"/>
        </w:rPr>
        <w:footnoteReference w:id="8"/>
      </w:r>
      <w:r w:rsidR="00D423ED" w:rsidRPr="00D423ED">
        <w:t xml:space="preserve">. Les personnes en situation de handicap renoncent également dans des proportions importantes </w:t>
      </w:r>
      <w:r w:rsidR="00A91DEF" w:rsidRPr="00D423ED">
        <w:t>aux soins</w:t>
      </w:r>
      <w:r w:rsidR="00D423ED" w:rsidRPr="00D423ED">
        <w:t> : seules 48% des personnes ayant des limitations motrices ont accès à des soins dentaires contre 56% dans la population générale. L’écart est encore plus important pour les personnes en fauteuil ro</w:t>
      </w:r>
      <w:r w:rsidR="00D423ED" w:rsidRPr="00D423ED">
        <w:t>u</w:t>
      </w:r>
      <w:r w:rsidR="00D423ED" w:rsidRPr="00D423ED">
        <w:t>lant dont seulement 44% accèdent aux soins</w:t>
      </w:r>
      <w:r w:rsidR="002D1964">
        <w:t xml:space="preserve"> dentaires</w:t>
      </w:r>
      <w:r w:rsidR="00D423ED" w:rsidRPr="00D423ED">
        <w:t>.</w:t>
      </w:r>
    </w:p>
    <w:p w14:paraId="4CADEA03" w14:textId="3B45D346" w:rsidR="004D2D5F" w:rsidRPr="00D423ED" w:rsidRDefault="00D423ED" w:rsidP="00D423ED">
      <w:pPr>
        <w:pStyle w:val="Corpsdetexte"/>
      </w:pPr>
      <w:r w:rsidRPr="00D423ED">
        <w:t>Il en est de même pour les soins gynécologiques : la probabilité moyenne de recours des femmes est de 49% en population générale mais elle ne s’élève qu’à 37% pour les femmes déclarant des limitations motrices, à 30% pour les femmes en fauteuil roulant et à 40% pour les femmes déclarant des limitations cognitives (</w:t>
      </w:r>
      <w:r w:rsidRPr="00EA1EEF">
        <w:rPr>
          <w:i/>
        </w:rPr>
        <w:t>cf.</w:t>
      </w:r>
      <w:r w:rsidRPr="00D423ED">
        <w:t xml:space="preserve"> annexe </w:t>
      </w:r>
      <w:r w:rsidR="00766C7E">
        <w:t>5</w:t>
      </w:r>
      <w:r w:rsidRPr="00D423ED">
        <w:t>).</w:t>
      </w:r>
      <w:r w:rsidR="004D2D5F">
        <w:t xml:space="preserve"> </w:t>
      </w:r>
    </w:p>
    <w:p w14:paraId="7435E766" w14:textId="6EF57923" w:rsidR="00D423ED" w:rsidRPr="00D423ED" w:rsidRDefault="00D423ED" w:rsidP="00D423ED">
      <w:pPr>
        <w:pStyle w:val="Corpsdetexte"/>
      </w:pPr>
      <w:r w:rsidRPr="00D423ED">
        <w:t xml:space="preserve">Pour autant, </w:t>
      </w:r>
      <w:r w:rsidR="004D2D5F">
        <w:t>l</w:t>
      </w:r>
      <w:r w:rsidR="004D2D5F" w:rsidRPr="00D423ED">
        <w:t xml:space="preserve">es </w:t>
      </w:r>
      <w:r w:rsidRPr="00D423ED">
        <w:t xml:space="preserve">personnes </w:t>
      </w:r>
      <w:r w:rsidR="004D2D5F">
        <w:t xml:space="preserve">en situation de handicap ou de précarité </w:t>
      </w:r>
      <w:r w:rsidRPr="00D423ED">
        <w:t>sont plus exposées que les autres au risque de pathologies lourdes. Dans son rapport charges et produits de 2016, la CNAM a notamment mis en évidence une prévalence des pathologies plus élevée pour les bénéficiaires de l’ACS et de la CMU-C par rapport à la population générale. Ils sont ainsi beaucoup plus exposés aux maladies psychiatriques, au diabète, aux maladies cardio-vasculaires. La fréquence</w:t>
      </w:r>
      <w:r w:rsidRPr="00D423ED">
        <w:rPr>
          <w:vertAlign w:val="superscript"/>
        </w:rPr>
        <w:footnoteReference w:id="9"/>
      </w:r>
      <w:r w:rsidRPr="00D423ED">
        <w:t xml:space="preserve"> des maladies psychiatriques est par exemple 2,1 fois plus élevée pour les bénéficiaires de la CMU-C que pour les autres assurés du régime général. Elle est 6,2 fois plus élevée pour les bénéficiaires de l’ACS. Pour le diabète, le risque est deux fois plus élevé que pour le reste de la population</w:t>
      </w:r>
      <w:r w:rsidRPr="00D423ED">
        <w:rPr>
          <w:vertAlign w:val="superscript"/>
        </w:rPr>
        <w:footnoteReference w:id="10"/>
      </w:r>
      <w:r w:rsidRPr="00D423ED">
        <w:t xml:space="preserve">. </w:t>
      </w:r>
    </w:p>
    <w:p w14:paraId="52FB2D96" w14:textId="5F7B7EDF" w:rsidR="00D423ED" w:rsidRPr="00D423ED" w:rsidRDefault="00D423ED" w:rsidP="00D423ED">
      <w:pPr>
        <w:pStyle w:val="Corpsdetexte"/>
      </w:pPr>
      <w:r w:rsidRPr="00D423ED">
        <w:t>L’étude montre de surcroît que la fréquence plus élevée des pathologies au sein des bénéficiaires de l’ACS se co</w:t>
      </w:r>
      <w:r w:rsidRPr="00D423ED">
        <w:t>n</w:t>
      </w:r>
      <w:r w:rsidRPr="00D423ED">
        <w:t>centre sur les personnes handicapées titulaires de l’</w:t>
      </w:r>
      <w:r w:rsidR="00506670">
        <w:t>allocation aux adultes handicapés (</w:t>
      </w:r>
      <w:r w:rsidRPr="00D423ED">
        <w:t>AAH</w:t>
      </w:r>
      <w:r w:rsidR="00506670">
        <w:t>)</w:t>
      </w:r>
      <w:r w:rsidRPr="00D423ED">
        <w:t xml:space="preserve"> ou celles </w:t>
      </w:r>
      <w:r w:rsidR="009F7559">
        <w:t xml:space="preserve">qui </w:t>
      </w:r>
      <w:r w:rsidRPr="00D423ED">
        <w:t>bénéfici</w:t>
      </w:r>
      <w:r w:rsidR="009F7559">
        <w:t>ent</w:t>
      </w:r>
      <w:r w:rsidRPr="00D423ED">
        <w:t xml:space="preserve"> d’une prestation d’invalidité. </w:t>
      </w:r>
    </w:p>
    <w:p w14:paraId="0910C550" w14:textId="6E47D8C5" w:rsidR="00D423ED" w:rsidRDefault="00D423ED" w:rsidP="00D423ED">
      <w:pPr>
        <w:pStyle w:val="Corpsdetexte"/>
      </w:pPr>
      <w:r w:rsidRPr="00D423ED">
        <w:t>Concernant le handicap psychique, l’espérance de vie des personnes vivant avec des troubles psychiques est écou</w:t>
      </w:r>
      <w:r w:rsidRPr="00D423ED">
        <w:t>r</w:t>
      </w:r>
      <w:r w:rsidRPr="00D423ED">
        <w:t xml:space="preserve">tée de 10 à 20 ans par rapport à la population générale, et leur taux de mortalité est trois à cinq fois supérieur (OMS, 2015). Les maladies cardiovasculaires et celles liées au tabac représentent les principales causes de décès des personnes atteintes de troubles psychiques. Par exemple, une personne </w:t>
      </w:r>
      <w:r w:rsidR="009F7559">
        <w:t>pour laquelle</w:t>
      </w:r>
      <w:r w:rsidRPr="00D423ED">
        <w:t xml:space="preserve"> un diagnostic de schiz</w:t>
      </w:r>
      <w:r w:rsidRPr="00D423ED">
        <w:t>o</w:t>
      </w:r>
      <w:r w:rsidRPr="00D423ED">
        <w:t>phrénie ou de troubles bipolaires a été établi aurait 2 à 3 fois plus de risque de mourir d’une maladie cardiovasculaire que la population générale.</w:t>
      </w:r>
    </w:p>
    <w:p w14:paraId="7F105D2B" w14:textId="77777777" w:rsidR="00B0569A" w:rsidRDefault="001B00ED" w:rsidP="001B00ED">
      <w:pPr>
        <w:pStyle w:val="Corpsdetexte"/>
      </w:pPr>
      <w:r w:rsidRPr="003C7327">
        <w:t>Malgré ces constats alarmants sur l’état de santé des personnes en situation de handicap, les bases de données de l’assurance maladie ne permettent pas d’identifier de façon directe et exhaustive l’ensemble des personnes co</w:t>
      </w:r>
      <w:r w:rsidRPr="003C7327">
        <w:t>n</w:t>
      </w:r>
      <w:r w:rsidRPr="003C7327">
        <w:t xml:space="preserve">cernées. </w:t>
      </w:r>
    </w:p>
    <w:p w14:paraId="01DE682B" w14:textId="5A3535CA" w:rsidR="001B00ED" w:rsidRPr="0075137A" w:rsidRDefault="00B0569A" w:rsidP="001B00ED">
      <w:pPr>
        <w:pStyle w:val="Corpsdetexte"/>
      </w:pPr>
      <w:r>
        <w:t>En tout état de cause, l</w:t>
      </w:r>
      <w:r w:rsidRPr="003C7327">
        <w:t xml:space="preserve">’hétérogénéité des modes de dénombrement des personnes </w:t>
      </w:r>
      <w:r w:rsidR="00C14DC6">
        <w:t xml:space="preserve">en situation de </w:t>
      </w:r>
      <w:r w:rsidRPr="003C7327">
        <w:t xml:space="preserve">handicap (au regard du type de limitations fonctionnelles, au regard de la reconnaissance administrative par les </w:t>
      </w:r>
      <w:r w:rsidR="007B4A96">
        <w:t>maisons dépa</w:t>
      </w:r>
      <w:r w:rsidR="007B4A96">
        <w:t>r</w:t>
      </w:r>
      <w:r w:rsidR="007B4A96">
        <w:t xml:space="preserve">tementales des personnes handicapées - </w:t>
      </w:r>
      <w:r w:rsidRPr="003C7327">
        <w:t>MDPH</w:t>
      </w:r>
      <w:r w:rsidR="007B4A96">
        <w:t xml:space="preserve"> -</w:t>
      </w:r>
      <w:r w:rsidRPr="003C7327">
        <w:t>, etc.) rend très difficile l’exercice de quantification des pe</w:t>
      </w:r>
      <w:r w:rsidRPr="003C7327">
        <w:t>r</w:t>
      </w:r>
      <w:r w:rsidRPr="003C7327">
        <w:t xml:space="preserve">sonnes handicapées dans le champ du présent rapport. Leur nombre s’élève </w:t>
      </w:r>
      <w:r w:rsidR="00900939">
        <w:t>de 1 million</w:t>
      </w:r>
      <w:r w:rsidRPr="003C7327">
        <w:t xml:space="preserve"> à 12 millions de personnes selon le critère d’estimation retenu. Des travaux de rapprochement entre les critères de reconnaissance administrative par les MDPH et les critères pathologiques (type </w:t>
      </w:r>
      <w:r w:rsidR="007B4A96">
        <w:t xml:space="preserve">affection de longue durée - </w:t>
      </w:r>
      <w:r w:rsidRPr="003C7327">
        <w:t>ALD</w:t>
      </w:r>
      <w:r w:rsidR="007B4A96">
        <w:t xml:space="preserve"> -</w:t>
      </w:r>
      <w:r w:rsidRPr="003C7327">
        <w:t>) nous semblent à cet égard n</w:t>
      </w:r>
      <w:r w:rsidRPr="003C7327">
        <w:t>é</w:t>
      </w:r>
      <w:r w:rsidRPr="003C7327">
        <w:t>cessaires.</w:t>
      </w:r>
    </w:p>
    <w:p w14:paraId="035E4726" w14:textId="77777777" w:rsidR="00D423ED" w:rsidRPr="00D423ED" w:rsidRDefault="00D423ED" w:rsidP="00D423ED">
      <w:pPr>
        <w:pStyle w:val="Corpsdetexte"/>
      </w:pPr>
    </w:p>
    <w:p w14:paraId="52DC3A2C" w14:textId="77777777" w:rsidR="0076750E" w:rsidRPr="0076750E" w:rsidRDefault="0076750E" w:rsidP="000465E8">
      <w:pPr>
        <w:pStyle w:val="Titre2"/>
      </w:pPr>
      <w:bookmarkStart w:id="268" w:name="_Toc518896245"/>
      <w:bookmarkStart w:id="269" w:name="_Toc523327669"/>
      <w:r>
        <w:lastRenderedPageBreak/>
        <w:t>Les principes</w:t>
      </w:r>
      <w:bookmarkEnd w:id="268"/>
      <w:bookmarkEnd w:id="269"/>
    </w:p>
    <w:p w14:paraId="65B07AC1" w14:textId="77777777" w:rsidR="006B038D" w:rsidRPr="006B038D" w:rsidRDefault="006B038D" w:rsidP="006B038D">
      <w:pPr>
        <w:pStyle w:val="Corpsdetexte"/>
      </w:pPr>
      <w:r w:rsidRPr="006B038D">
        <w:t>Les principes qui nous ont guidés tout au long de cette mission pour établir nos propositions répondent à plusieurs objectifs</w:t>
      </w:r>
      <w:r>
        <w:t> :</w:t>
      </w:r>
    </w:p>
    <w:p w14:paraId="3E6236F9" w14:textId="77777777" w:rsidR="006B038D" w:rsidRPr="006B038D" w:rsidRDefault="006B038D" w:rsidP="006B038D">
      <w:pPr>
        <w:pStyle w:val="Titre3"/>
      </w:pPr>
      <w:bookmarkStart w:id="270" w:name="_Toc523327670"/>
      <w:r w:rsidRPr="006B038D">
        <w:t>Redonner une place cent</w:t>
      </w:r>
      <w:r>
        <w:t>rale à l’individu</w:t>
      </w:r>
      <w:bookmarkEnd w:id="270"/>
      <w:r>
        <w:t> </w:t>
      </w:r>
    </w:p>
    <w:p w14:paraId="58E3C7C5" w14:textId="77777777" w:rsidR="006B038D" w:rsidRPr="006B038D" w:rsidRDefault="006B038D" w:rsidP="006B038D">
      <w:pPr>
        <w:pStyle w:val="Corpsdetexte"/>
      </w:pPr>
      <w:r w:rsidRPr="006B038D">
        <w:t>Nous avons tenté d’adopter la vision des personnes plutôt qu’une vision institutionnelle, administrative ou « m</w:t>
      </w:r>
      <w:r w:rsidRPr="006B038D">
        <w:t>a</w:t>
      </w:r>
      <w:r w:rsidRPr="006B038D">
        <w:t>cro ».  Nous avons pour cela notamment consulté les associations de personnes en situation de handicap ou de précarité, mais tenu également à recueillir des témoignages et points de vue de personnes directement conce</w:t>
      </w:r>
      <w:r w:rsidRPr="006B038D">
        <w:t>r</w:t>
      </w:r>
      <w:r w:rsidRPr="006B038D">
        <w:t xml:space="preserve">nées par la précarité et le handicap. </w:t>
      </w:r>
    </w:p>
    <w:p w14:paraId="3573BE30" w14:textId="04D60DA7" w:rsidR="006B038D" w:rsidRPr="006B038D" w:rsidRDefault="006B038D" w:rsidP="006B038D">
      <w:pPr>
        <w:pStyle w:val="Corpsdetexte"/>
      </w:pPr>
      <w:r w:rsidRPr="006B038D">
        <w:t>Conformément au cadrage de la lettre de mission, la mission s’est attachée à identifier les sources de dysfonctio</w:t>
      </w:r>
      <w:r w:rsidRPr="006B038D">
        <w:t>n</w:t>
      </w:r>
      <w:r w:rsidRPr="006B038D">
        <w:t>nement qui font obstacle à l’accès au droit et aux soins des personnes en situation de handicap ou des personnes en situation de précarité, quel que soit le type d’aide ou de couverture santé dont ils bénéficient (</w:t>
      </w:r>
      <w:r w:rsidR="007B4A96">
        <w:t>AAH</w:t>
      </w:r>
      <w:r w:rsidRPr="006B038D">
        <w:t xml:space="preserve">, pension d’invalidité, </w:t>
      </w:r>
      <w:r w:rsidR="007B4A96">
        <w:t>ALD</w:t>
      </w:r>
      <w:r w:rsidRPr="006B038D">
        <w:t>, couverture par la protection maladie unive</w:t>
      </w:r>
      <w:r w:rsidRPr="006B038D">
        <w:t>r</w:t>
      </w:r>
      <w:r w:rsidRPr="006B038D">
        <w:t xml:space="preserve">selle, </w:t>
      </w:r>
      <w:r w:rsidR="00005BD2">
        <w:t xml:space="preserve">par </w:t>
      </w:r>
      <w:r w:rsidRPr="006B038D">
        <w:t xml:space="preserve">la </w:t>
      </w:r>
      <w:r w:rsidR="007B4A96">
        <w:t>CMU-C</w:t>
      </w:r>
      <w:r w:rsidRPr="006B038D">
        <w:t xml:space="preserve">, </w:t>
      </w:r>
      <w:r w:rsidR="00005BD2">
        <w:t xml:space="preserve">par </w:t>
      </w:r>
      <w:r w:rsidR="007B4A96">
        <w:t>l’ACS</w:t>
      </w:r>
      <w:r w:rsidRPr="006B038D">
        <w:t>,</w:t>
      </w:r>
      <w:r w:rsidR="00005BD2">
        <w:t xml:space="preserve"> par</w:t>
      </w:r>
      <w:r w:rsidRPr="006B038D">
        <w:t xml:space="preserve"> l’aide médicale</w:t>
      </w:r>
      <w:r w:rsidR="00616AA5">
        <w:t xml:space="preserve"> de l’E</w:t>
      </w:r>
      <w:r w:rsidRPr="006B038D">
        <w:t>tat</w:t>
      </w:r>
      <w:r w:rsidR="007B4A96">
        <w:t xml:space="preserve"> - AME -</w:t>
      </w:r>
      <w:r w:rsidRPr="006B038D">
        <w:t xml:space="preserve"> ou absence totale ou partielle de couverture). </w:t>
      </w:r>
    </w:p>
    <w:p w14:paraId="34540750" w14:textId="6F7DDC97" w:rsidR="006B038D" w:rsidRPr="006B038D" w:rsidRDefault="006B038D" w:rsidP="006B038D">
      <w:pPr>
        <w:pStyle w:val="Corpsdetexte"/>
      </w:pPr>
      <w:r w:rsidRPr="006B038D">
        <w:t>Par ailleurs, une attention particulière a été portée au fait d’examiner le recours aux droits et aux soins des pe</w:t>
      </w:r>
      <w:r w:rsidRPr="006B038D">
        <w:t>r</w:t>
      </w:r>
      <w:r w:rsidRPr="006B038D">
        <w:t>sonnes démunies en situation irrégulière</w:t>
      </w:r>
      <w:r w:rsidR="00EA1EEF">
        <w:t>.</w:t>
      </w:r>
      <w:r w:rsidRPr="006B038D">
        <w:t xml:space="preserve"> </w:t>
      </w:r>
    </w:p>
    <w:p w14:paraId="16A953AB" w14:textId="4A8474A1" w:rsidR="006B038D" w:rsidRPr="006B038D" w:rsidRDefault="006B038D" w:rsidP="006B038D">
      <w:pPr>
        <w:pStyle w:val="Titre3"/>
      </w:pPr>
      <w:bookmarkStart w:id="271" w:name="_Toc523327671"/>
      <w:r>
        <w:t>Promouvoir l</w:t>
      </w:r>
      <w:r w:rsidR="00616AA5">
        <w:t>’</w:t>
      </w:r>
      <w:r>
        <w:t>« aller-vers »</w:t>
      </w:r>
      <w:bookmarkEnd w:id="271"/>
    </w:p>
    <w:p w14:paraId="78FB8529" w14:textId="77777777" w:rsidR="006B038D" w:rsidRPr="006B038D" w:rsidRDefault="006B038D" w:rsidP="006B038D">
      <w:pPr>
        <w:pStyle w:val="Corpsdetexte"/>
      </w:pPr>
      <w:r w:rsidRPr="006B038D">
        <w:t>Ces populations vulnérables ont souvent perdu confiance dans le système de soin et / ou ne sont pas assez acco</w:t>
      </w:r>
      <w:r w:rsidRPr="006B038D">
        <w:t>m</w:t>
      </w:r>
      <w:r w:rsidRPr="006B038D">
        <w:t xml:space="preserve">pagnées vers le soin par leur environnement. De plus, le rapport à leur corps </w:t>
      </w:r>
      <w:r w:rsidR="00A445B4">
        <w:t>est souvent altéré</w:t>
      </w:r>
      <w:r w:rsidRPr="006B038D">
        <w:t xml:space="preserve"> et « l’entretien » ou le suivi de leur santé n’est en conséquence pas une priorité pour elles. Il est donc dans bien des cas illusoire de penser que la personne ira d’elle-même vers le soin et s’intéressera à sa santé si elle n’est pas accompagnée. De surcroît, une partie des populations concernées par ce rapport éprouve des difficultés à mener des démarches administratives complexes.</w:t>
      </w:r>
    </w:p>
    <w:p w14:paraId="64305F04" w14:textId="567B345B" w:rsidR="007D6D25" w:rsidRDefault="006B038D" w:rsidP="006B038D">
      <w:pPr>
        <w:pStyle w:val="Corpsdetexte"/>
      </w:pPr>
      <w:r w:rsidRPr="006B038D">
        <w:t>Il faut donc changer de paradigme : inverser le fonctionnement du modèle de santé en généralisant la démarche d</w:t>
      </w:r>
      <w:r w:rsidR="009A55C9">
        <w:t>e l’</w:t>
      </w:r>
      <w:r w:rsidRPr="006B038D">
        <w:t>« aller-vers », de manière à ce que « le droit, le soin et la prévention aillent à la per</w:t>
      </w:r>
      <w:r>
        <w:t xml:space="preserve">sonne » et non plus l’inverse. </w:t>
      </w:r>
    </w:p>
    <w:p w14:paraId="2EBA16AA" w14:textId="77777777" w:rsidR="006B038D" w:rsidRPr="006B038D" w:rsidRDefault="006B038D" w:rsidP="006B038D">
      <w:pPr>
        <w:pStyle w:val="Titre3"/>
      </w:pPr>
      <w:bookmarkStart w:id="272" w:name="_Toc523327672"/>
      <w:r w:rsidRPr="006B038D">
        <w:t>Repenser la responsabilité et l’implication de l’ensemble des acteurs</w:t>
      </w:r>
      <w:bookmarkEnd w:id="272"/>
    </w:p>
    <w:p w14:paraId="2073FD87" w14:textId="627BEE15" w:rsidR="006B038D" w:rsidRDefault="00C822B2" w:rsidP="006B038D">
      <w:pPr>
        <w:pStyle w:val="Corpsdetexte"/>
      </w:pPr>
      <w:r w:rsidRPr="006B038D">
        <w:t xml:space="preserve">La santé - notamment la prévention et les soins </w:t>
      </w:r>
      <w:r>
        <w:t>courants</w:t>
      </w:r>
      <w:r w:rsidRPr="006B038D">
        <w:t xml:space="preserve"> - n’apparait pas comme une priorité</w:t>
      </w:r>
      <w:r>
        <w:t xml:space="preserve">, </w:t>
      </w:r>
      <w:r w:rsidRPr="006B038D">
        <w:t>particulièrement dans le champ du handicap</w:t>
      </w:r>
      <w:r>
        <w:t>,</w:t>
      </w:r>
      <w:r w:rsidRPr="006B038D">
        <w:t xml:space="preserve"> aussi bien pour les professionnels du secteur sanitaire que médico-social, les aidants, les associations, les institutionnels. </w:t>
      </w:r>
      <w:r w:rsidR="006B038D" w:rsidRPr="006B038D">
        <w:t>De nombreux facteurs peuvent expliquer ce constat, dont notamment les no</w:t>
      </w:r>
      <w:r w:rsidR="006B038D" w:rsidRPr="006B038D">
        <w:t>m</w:t>
      </w:r>
      <w:r w:rsidR="006B038D" w:rsidRPr="006B038D">
        <w:t>breux autres besoins primaires des personnes handicapées ou en exclusion.  Ce n’est pas le lieu ici de les recenser. Mais il y a un devoir à se mobiliser collectivement pour remédier à cette situation discriminante et inacceptable. La bonne santé, malgré des déficiences</w:t>
      </w:r>
      <w:r w:rsidR="00005BD2">
        <w:t xml:space="preserve"> ou des difficultés sociales</w:t>
      </w:r>
      <w:r w:rsidR="006B038D" w:rsidRPr="006B038D">
        <w:t>, est un élément majeur de l’autonomie et de l’inclusion. Elle ne peut être obtenue que par une prise de conscience et une volonté collective</w:t>
      </w:r>
      <w:r w:rsidR="006B038D">
        <w:t xml:space="preserve">. </w:t>
      </w:r>
    </w:p>
    <w:p w14:paraId="1CD1FAAA" w14:textId="77777777" w:rsidR="006B038D" w:rsidRPr="006B038D" w:rsidRDefault="006B038D" w:rsidP="006B038D">
      <w:pPr>
        <w:pStyle w:val="Titre3"/>
      </w:pPr>
      <w:bookmarkStart w:id="273" w:name="_Toc523327673"/>
      <w:r w:rsidRPr="006B038D">
        <w:lastRenderedPageBreak/>
        <w:t xml:space="preserve">Favoriser des propositions qui s’intègrent dans le droit commun tant </w:t>
      </w:r>
      <w:r>
        <w:t>pour la prévention que le soin</w:t>
      </w:r>
      <w:bookmarkEnd w:id="273"/>
      <w:r>
        <w:t xml:space="preserve"> </w:t>
      </w:r>
    </w:p>
    <w:p w14:paraId="30CE5188" w14:textId="145A3541" w:rsidR="00CF2931" w:rsidRPr="006B038D" w:rsidRDefault="00CF2931" w:rsidP="00CF2931">
      <w:pPr>
        <w:pStyle w:val="Corpsdetexte"/>
      </w:pPr>
      <w:r w:rsidRPr="006B038D">
        <w:t xml:space="preserve">Les solutions pour assurer un accès aux soins et à la santé ne sauraient être exclusives pour ces personnes. Des réponses qui se voudraient exclusivement dédiées </w:t>
      </w:r>
      <w:r w:rsidR="0051798E">
        <w:t xml:space="preserve">aux personnes en situation de handicap ou de précarité </w:t>
      </w:r>
      <w:r w:rsidRPr="006B038D">
        <w:t>prése</w:t>
      </w:r>
      <w:r w:rsidRPr="006B038D">
        <w:t>n</w:t>
      </w:r>
      <w:r w:rsidRPr="006B038D">
        <w:t>tent plusieurs inconvénients majeurs. Elles se heurtent à l’incapacité d’un déploiement</w:t>
      </w:r>
      <w:r w:rsidR="000710EF">
        <w:t xml:space="preserve"> et d’une couverture nationale</w:t>
      </w:r>
      <w:r w:rsidR="0051798E">
        <w:t xml:space="preserve"> ; elles </w:t>
      </w:r>
      <w:r w:rsidRPr="006B038D">
        <w:t>ne peuvent être mises en œuvre dans tous les domaines de la santé et surtout portent en elles les germes de la discrimination, l’ensemble des professionnels considérant</w:t>
      </w:r>
      <w:r>
        <w:t xml:space="preserve">, </w:t>
      </w:r>
      <w:r w:rsidR="00A91DEF">
        <w:t>dès</w:t>
      </w:r>
      <w:r>
        <w:t xml:space="preserve"> lors, </w:t>
      </w:r>
      <w:r w:rsidRPr="006B038D">
        <w:t>qu’il n’est pas de leur ressort de s’occuper des personnes en situation de vulnérabilité puisqu’il existe des offres spécifiques. Enfin cela serait à l’opposé d’une approche sociétale universelle et inclusive de la santé</w:t>
      </w:r>
      <w:r>
        <w:t xml:space="preserve"> comme le conseil de la CNSA l’a rappelé, récemment, dans ses orientations stratégiques.</w:t>
      </w:r>
    </w:p>
    <w:p w14:paraId="4EEEF405" w14:textId="379B78E1" w:rsidR="003744A1" w:rsidRPr="003744A1" w:rsidRDefault="006B038D" w:rsidP="003744A1">
      <w:pPr>
        <w:pStyle w:val="Corpsdetexte"/>
      </w:pPr>
      <w:r w:rsidRPr="006B038D">
        <w:t>Nous avons donc privilégié des propositions qui soient les plus intégrées possibles dans le droit commun et qui s’appuient sur l’ensemble des professionnels et des structures de santé existantes. La création de certaines stru</w:t>
      </w:r>
      <w:r w:rsidRPr="006B038D">
        <w:t>c</w:t>
      </w:r>
      <w:r w:rsidRPr="006B038D">
        <w:t>tures plus adaptées ne peut exister que si elles servent aussi d’appui et de ressources aux autres professionnels dans leur capacité à prendre en cha</w:t>
      </w:r>
      <w:r>
        <w:t xml:space="preserve">rge la santé de </w:t>
      </w:r>
      <w:r w:rsidR="00981246">
        <w:t>ces</w:t>
      </w:r>
      <w:r>
        <w:t xml:space="preserve"> patients.</w:t>
      </w:r>
    </w:p>
    <w:p w14:paraId="4014484C" w14:textId="77777777" w:rsidR="000465E8" w:rsidRDefault="000465E8" w:rsidP="000465E8">
      <w:pPr>
        <w:pStyle w:val="Titre1"/>
      </w:pPr>
      <w:bookmarkStart w:id="274" w:name="_Toc518895729"/>
      <w:bookmarkStart w:id="275" w:name="_Toc518896246"/>
      <w:bookmarkStart w:id="276" w:name="_Toc484535476"/>
      <w:bookmarkStart w:id="277" w:name="_Toc523327674"/>
      <w:r>
        <w:lastRenderedPageBreak/>
        <w:t>Les propositions</w:t>
      </w:r>
      <w:bookmarkEnd w:id="274"/>
      <w:bookmarkEnd w:id="275"/>
      <w:bookmarkEnd w:id="277"/>
    </w:p>
    <w:p w14:paraId="65265556" w14:textId="77777777" w:rsidR="0024259F" w:rsidRDefault="000465E8" w:rsidP="0024259F">
      <w:pPr>
        <w:pStyle w:val="Titre2"/>
      </w:pPr>
      <w:bookmarkStart w:id="278" w:name="_Toc518895730"/>
      <w:bookmarkStart w:id="279" w:name="_Toc518896247"/>
      <w:bookmarkStart w:id="280" w:name="_Toc523327675"/>
      <w:bookmarkEnd w:id="276"/>
      <w:r>
        <w:lastRenderedPageBreak/>
        <w:t>Lever les barrières financières d’accès à la santé</w:t>
      </w:r>
      <w:bookmarkEnd w:id="278"/>
      <w:bookmarkEnd w:id="279"/>
      <w:bookmarkEnd w:id="280"/>
    </w:p>
    <w:p w14:paraId="17E1558B" w14:textId="4F94682A" w:rsidR="004C13C6" w:rsidRDefault="00B719D0" w:rsidP="00181084">
      <w:pPr>
        <w:pStyle w:val="Corpsdetexte"/>
        <w:ind w:firstLine="284"/>
      </w:pPr>
      <w:r>
        <w:t>L</w:t>
      </w:r>
      <w:r w:rsidR="002E5868">
        <w:t>ever les barrières financières d’accès à la santé suppose au préalable de lever les obstacles de l’accès à une couver</w:t>
      </w:r>
      <w:r w:rsidR="004C13C6">
        <w:t>ture santé (p</w:t>
      </w:r>
      <w:r w:rsidR="002E5868">
        <w:t>rotection maladie universelle, CMU</w:t>
      </w:r>
      <w:r w:rsidR="002E5868">
        <w:noBreakHyphen/>
        <w:t>C, ACS, AME,</w:t>
      </w:r>
      <w:r w:rsidR="00B46142">
        <w:t xml:space="preserve"> etc.</w:t>
      </w:r>
      <w:r w:rsidR="004C13C6">
        <w:t>) et d’éviter les ruptures de cette couve</w:t>
      </w:r>
      <w:r w:rsidR="004C13C6">
        <w:t>r</w:t>
      </w:r>
      <w:r w:rsidR="004C13C6">
        <w:t>ture.</w:t>
      </w:r>
      <w:r w:rsidR="00E228C3">
        <w:t xml:space="preserve"> C’est ensuite rendre les soins financièrement accessibles en réduisant, voire en annulant la participation des personnes en situation de handicap ou de précarité à leurs frais de santé. </w:t>
      </w:r>
    </w:p>
    <w:p w14:paraId="5D3B8FE6" w14:textId="77E7AED4" w:rsidR="0094190E" w:rsidRDefault="00E228C3" w:rsidP="00181084">
      <w:pPr>
        <w:pStyle w:val="Corpsdetexte"/>
        <w:ind w:firstLine="284"/>
      </w:pPr>
      <w:r w:rsidRPr="0075137A">
        <w:t xml:space="preserve">Le renoncement aux soins pour motif financier est </w:t>
      </w:r>
      <w:r>
        <w:t xml:space="preserve">en effet </w:t>
      </w:r>
      <w:r w:rsidRPr="0075137A">
        <w:t>le principal frein à l’accès aux soins courants et à la prévention</w:t>
      </w:r>
      <w:r w:rsidRPr="0075137A">
        <w:rPr>
          <w:vertAlign w:val="superscript"/>
        </w:rPr>
        <w:footnoteReference w:id="11"/>
      </w:r>
      <w:r w:rsidRPr="0075137A">
        <w:t xml:space="preserve">. C’est ce constat qui </w:t>
      </w:r>
      <w:r>
        <w:t>fut</w:t>
      </w:r>
      <w:r w:rsidRPr="0075137A">
        <w:t xml:space="preserve"> à l’origine de la création de la CMU, de la CMU-C et de l’</w:t>
      </w:r>
      <w:r w:rsidR="007B4A96">
        <w:t>AME</w:t>
      </w:r>
      <w:r w:rsidRPr="0075137A">
        <w:t xml:space="preserve"> </w:t>
      </w:r>
      <w:r>
        <w:t xml:space="preserve">par la loi du 27 juillet 1999. </w:t>
      </w:r>
    </w:p>
    <w:p w14:paraId="0DB30375" w14:textId="45757633" w:rsidR="0075137A" w:rsidRPr="0075137A" w:rsidRDefault="00E228C3" w:rsidP="00181084">
      <w:pPr>
        <w:pStyle w:val="Corpsdetexte"/>
        <w:ind w:firstLine="284"/>
      </w:pPr>
      <w:r w:rsidRPr="0075137A">
        <w:t>La CMU-C complète la couverture maladie du régime de base pour assurer la gratuité des soins aux bénéf</w:t>
      </w:r>
      <w:r w:rsidRPr="0075137A">
        <w:t>i</w:t>
      </w:r>
      <w:r w:rsidRPr="0075137A">
        <w:t>ciaires dont les ressources sont particulièrement faibles</w:t>
      </w:r>
      <w:r w:rsidRPr="0075137A">
        <w:rPr>
          <w:vertAlign w:val="superscript"/>
        </w:rPr>
        <w:footnoteReference w:id="12"/>
      </w:r>
      <w:r w:rsidRPr="0075137A">
        <w:t xml:space="preserve">.  </w:t>
      </w:r>
      <w:r w:rsidR="0075137A" w:rsidRPr="0075137A">
        <w:t xml:space="preserve">Selon les dernières études de la DREES, </w:t>
      </w:r>
      <w:r w:rsidR="0094190E">
        <w:t>cette couverture</w:t>
      </w:r>
      <w:r w:rsidR="0075137A" w:rsidRPr="0075137A">
        <w:t xml:space="preserve"> limite significativement le renoncement aux soins pour raisons financières. Détenir la CMU</w:t>
      </w:r>
      <w:r w:rsidR="0075137A" w:rsidRPr="0075137A">
        <w:noBreakHyphen/>
        <w:t>C réduit ainsi de moitié le risque de renoncer à des soins par rapport à des personnes sans complémentaire santé présentant les mêmes caractéristiques socio-économiques et un état de santé comparable. Le rôle protecteur de la CMU</w:t>
      </w:r>
      <w:r w:rsidR="0075137A" w:rsidRPr="0075137A">
        <w:noBreakHyphen/>
        <w:t>C est surtout visible pour les prestations les moins bien prises en charge par l’assurance maladie obligatoire : soins dentaires (notamment prothétiques) et optique.</w:t>
      </w:r>
    </w:p>
    <w:p w14:paraId="27986929" w14:textId="673DADBD" w:rsidR="0075137A" w:rsidRDefault="0075137A" w:rsidP="00181084">
      <w:pPr>
        <w:pStyle w:val="Corpsdetexte"/>
        <w:ind w:firstLine="284"/>
      </w:pPr>
      <w:r w:rsidRPr="00E4101C">
        <w:t xml:space="preserve">Toutefois, </w:t>
      </w:r>
      <w:r w:rsidR="00E7182F" w:rsidRPr="00E4101C">
        <w:t>plusieurs</w:t>
      </w:r>
      <w:r w:rsidRPr="00E4101C">
        <w:t xml:space="preserve"> millions de personnes en situation de handicap et</w:t>
      </w:r>
      <w:r w:rsidR="00152A9E">
        <w:t xml:space="preserve"> </w:t>
      </w:r>
      <w:r w:rsidRPr="00E4101C">
        <w:t>/</w:t>
      </w:r>
      <w:r w:rsidR="00152A9E">
        <w:t xml:space="preserve"> </w:t>
      </w:r>
      <w:r w:rsidRPr="0075137A">
        <w:t>ou de précarité ne bénéficient pas de la CMU-C et se trouvent en conséquence exposé</w:t>
      </w:r>
      <w:r w:rsidR="00671277">
        <w:t>e</w:t>
      </w:r>
      <w:r w:rsidRPr="0075137A">
        <w:t>s à des restes à charge ou à des primes sur leur contrat de couve</w:t>
      </w:r>
      <w:r w:rsidRPr="0075137A">
        <w:t>r</w:t>
      </w:r>
      <w:r w:rsidRPr="0075137A">
        <w:t>ture complémentaire qui altèrent leur capacité à accéder aux soins.</w:t>
      </w:r>
    </w:p>
    <w:p w14:paraId="42B592C6" w14:textId="1113E06B" w:rsidR="0094190E" w:rsidRDefault="0094190E" w:rsidP="00181084">
      <w:pPr>
        <w:pStyle w:val="Corpsdetexte"/>
        <w:ind w:firstLine="284"/>
      </w:pPr>
      <w:r>
        <w:t>Certains, dont les bénéficiaires de l’</w:t>
      </w:r>
      <w:r w:rsidR="00257A95">
        <w:t>AAH</w:t>
      </w:r>
      <w:r>
        <w:t xml:space="preserve">, ont accès à </w:t>
      </w:r>
      <w:r w:rsidR="00F716BF">
        <w:t>l’</w:t>
      </w:r>
      <w:r w:rsidR="007D7DE0">
        <w:t>ACS</w:t>
      </w:r>
      <w:r>
        <w:t xml:space="preserve">. </w:t>
      </w:r>
      <w:r w:rsidR="00F716BF">
        <w:t>Créé</w:t>
      </w:r>
      <w:r w:rsidR="000742D4">
        <w:t>e</w:t>
      </w:r>
      <w:r w:rsidR="00F716BF">
        <w:t xml:space="preserve"> en 2004 pour atténuer l’effet de seuil de la CMU</w:t>
      </w:r>
      <w:r w:rsidR="00F716BF">
        <w:noBreakHyphen/>
        <w:t>C, cette aide est d</w:t>
      </w:r>
      <w:r>
        <w:t>esti</w:t>
      </w:r>
      <w:r w:rsidR="00257A95">
        <w:t>née</w:t>
      </w:r>
      <w:r>
        <w:t xml:space="preserve"> aux personnes pauvres dont les revenus sont</w:t>
      </w:r>
      <w:r w:rsidR="00257A95">
        <w:t xml:space="preserve"> compris entre le plafond de re</w:t>
      </w:r>
      <w:r w:rsidR="00257A95">
        <w:t>s</w:t>
      </w:r>
      <w:r w:rsidR="00257A95">
        <w:t>sources de la CMU</w:t>
      </w:r>
      <w:r w:rsidR="00257A95">
        <w:noBreakHyphen/>
        <w:t>C et 35% de ce plafond</w:t>
      </w:r>
      <w:r w:rsidR="00DA5C8F">
        <w:rPr>
          <w:rStyle w:val="Appelnotedebasdep"/>
        </w:rPr>
        <w:footnoteReference w:id="13"/>
      </w:r>
      <w:r w:rsidR="00F716BF">
        <w:t xml:space="preserve">. Elle </w:t>
      </w:r>
      <w:r w:rsidR="00257A95">
        <w:t>permet de financer tout ou partie de la prime d’un contrat de complémentaire santé privé</w:t>
      </w:r>
      <w:r w:rsidR="00AE77FA">
        <w:t>,</w:t>
      </w:r>
      <w:r w:rsidR="00257A95">
        <w:t xml:space="preserve"> </w:t>
      </w:r>
      <w:r w:rsidR="0007151F">
        <w:t>à choisir parmi</w:t>
      </w:r>
      <w:r w:rsidR="00D31D63">
        <w:t xml:space="preserve"> les contrats de co</w:t>
      </w:r>
      <w:r w:rsidR="00D31D63">
        <w:t>m</w:t>
      </w:r>
      <w:r w:rsidR="00D31D63">
        <w:t xml:space="preserve">plémentaire santé sélectionnés par l’Etat pour leur bon rapport qualité / prix </w:t>
      </w:r>
      <w:r w:rsidR="00257A95">
        <w:t>(</w:t>
      </w:r>
      <w:r w:rsidR="00257A95" w:rsidRPr="00EA1EEF">
        <w:rPr>
          <w:i/>
        </w:rPr>
        <w:t>cf.</w:t>
      </w:r>
      <w:r w:rsidR="00257A95">
        <w:t xml:space="preserve"> annexe</w:t>
      </w:r>
      <w:r w:rsidR="00D31D63">
        <w:t>s</w:t>
      </w:r>
      <w:r w:rsidR="00257A95">
        <w:t xml:space="preserve"> 6</w:t>
      </w:r>
      <w:r w:rsidR="00D31D63">
        <w:t xml:space="preserve"> et </w:t>
      </w:r>
      <w:r w:rsidR="004606DA">
        <w:t>11</w:t>
      </w:r>
      <w:r w:rsidR="00B859CA">
        <w:t>)</w:t>
      </w:r>
      <w:r w:rsidR="00257A95">
        <w:t>.</w:t>
      </w:r>
      <w:r>
        <w:t xml:space="preserve"> </w:t>
      </w:r>
    </w:p>
    <w:p w14:paraId="1D071294" w14:textId="77777777" w:rsidR="00772F0A" w:rsidRDefault="00772F0A" w:rsidP="00772F0A">
      <w:pPr>
        <w:pStyle w:val="Titre3"/>
      </w:pPr>
      <w:bookmarkStart w:id="281" w:name="_Toc518896248"/>
      <w:bookmarkStart w:id="282" w:name="_Toc523327676"/>
      <w:r>
        <w:t>Rendre effectif le droit à une couverture de santé</w:t>
      </w:r>
      <w:bookmarkEnd w:id="281"/>
      <w:bookmarkEnd w:id="282"/>
    </w:p>
    <w:p w14:paraId="11937977" w14:textId="7C801EE2" w:rsidR="00AE77FA" w:rsidRDefault="0075137A" w:rsidP="00181084">
      <w:pPr>
        <w:pStyle w:val="Notedebasdepage"/>
        <w:rPr>
          <w:color w:val="auto"/>
        </w:rPr>
      </w:pPr>
      <w:r w:rsidRPr="00181084">
        <w:rPr>
          <w:rFonts w:eastAsia="Calibri"/>
          <w:i w:val="0"/>
          <w:sz w:val="20"/>
          <w:szCs w:val="22"/>
          <w:lang w:eastAsia="en-US"/>
        </w:rPr>
        <w:t>Des mesures de simplification et des actions d’accompagnement ont été déployées ces dernières années par les pouvoirs publics et les principaux opérateurs (</w:t>
      </w:r>
      <w:r w:rsidRPr="00EA1EEF">
        <w:rPr>
          <w:rFonts w:eastAsia="Calibri"/>
          <w:sz w:val="20"/>
          <w:szCs w:val="22"/>
          <w:lang w:eastAsia="en-US"/>
        </w:rPr>
        <w:t>cf.</w:t>
      </w:r>
      <w:r w:rsidRPr="00181084">
        <w:rPr>
          <w:rFonts w:eastAsia="Calibri"/>
          <w:i w:val="0"/>
          <w:sz w:val="20"/>
          <w:szCs w:val="22"/>
          <w:lang w:eastAsia="en-US"/>
        </w:rPr>
        <w:t xml:space="preserve"> annexe </w:t>
      </w:r>
      <w:r w:rsidR="00AE77FA" w:rsidRPr="00181084">
        <w:rPr>
          <w:rFonts w:eastAsia="Calibri"/>
          <w:i w:val="0"/>
          <w:sz w:val="20"/>
          <w:szCs w:val="22"/>
          <w:lang w:eastAsia="en-US"/>
        </w:rPr>
        <w:t>8</w:t>
      </w:r>
      <w:r w:rsidRPr="00181084">
        <w:rPr>
          <w:rFonts w:eastAsia="Calibri"/>
          <w:i w:val="0"/>
          <w:sz w:val="20"/>
          <w:szCs w:val="22"/>
          <w:lang w:eastAsia="en-US"/>
        </w:rPr>
        <w:t xml:space="preserve">). </w:t>
      </w:r>
      <w:r w:rsidR="00AF1170">
        <w:rPr>
          <w:rFonts w:eastAsia="Calibri"/>
          <w:i w:val="0"/>
          <w:sz w:val="20"/>
          <w:szCs w:val="22"/>
          <w:lang w:eastAsia="en-US"/>
        </w:rPr>
        <w:t xml:space="preserve">Le formulaire </w:t>
      </w:r>
      <w:r w:rsidR="00AF1170" w:rsidRPr="00181084">
        <w:rPr>
          <w:rFonts w:eastAsia="Calibri"/>
          <w:i w:val="0"/>
          <w:sz w:val="20"/>
          <w:szCs w:val="22"/>
          <w:lang w:eastAsia="en-US"/>
        </w:rPr>
        <w:t>de demande commune pour l’obtention de la CMU-C et de l’</w:t>
      </w:r>
      <w:r w:rsidR="00AF1170">
        <w:rPr>
          <w:rFonts w:eastAsia="Calibri"/>
          <w:i w:val="0"/>
          <w:sz w:val="20"/>
          <w:szCs w:val="22"/>
          <w:lang w:eastAsia="en-US"/>
        </w:rPr>
        <w:t>ACS a notamment été très récemment simplifié (réduction du nombre de pages et du nombre de pièces justificatives).</w:t>
      </w:r>
    </w:p>
    <w:p w14:paraId="3D84407A" w14:textId="429522F1" w:rsidR="0075137A" w:rsidRPr="0075137A" w:rsidRDefault="0075137A" w:rsidP="0075137A">
      <w:pPr>
        <w:pStyle w:val="Corpsdetexte"/>
      </w:pPr>
      <w:r w:rsidRPr="0075137A">
        <w:t xml:space="preserve">Si ces démarches témoignent de la volonté de lutter contre les inégalités sociales d’accès aux soins et marquent une inflexion dans les métiers de l’assurance maladie, </w:t>
      </w:r>
      <w:r w:rsidR="00DC20B9">
        <w:t xml:space="preserve">les mesures de simplification, </w:t>
      </w:r>
      <w:r w:rsidRPr="0075137A">
        <w:t xml:space="preserve">les modalités de détection des populations éligibles et d’instruction des droits n’utilisent pas pleinement les possibilités ouvertes dorénavant par le datamining et la dématérialisation des données. Il en résulte une grande hétérogénéité de détection et d’accompagnement des différentes populations entre les régimes et entre les caisses </w:t>
      </w:r>
      <w:r w:rsidR="007D7DE0">
        <w:t>ainsi qu’</w:t>
      </w:r>
      <w:r w:rsidRPr="0075137A">
        <w:t xml:space="preserve">une progression du taux de recours </w:t>
      </w:r>
      <w:r w:rsidR="003F1DD0">
        <w:t xml:space="preserve">aux droits </w:t>
      </w:r>
      <w:r w:rsidRPr="0075137A">
        <w:t>très lente.</w:t>
      </w:r>
    </w:p>
    <w:p w14:paraId="15AA623D" w14:textId="77777777" w:rsidR="00772F0A" w:rsidRPr="00772F0A" w:rsidRDefault="00772F0A" w:rsidP="00772F0A">
      <w:pPr>
        <w:pStyle w:val="Titre4"/>
      </w:pPr>
      <w:bookmarkStart w:id="283" w:name="_Toc518896249"/>
      <w:bookmarkStart w:id="284" w:name="_Toc523327677"/>
      <w:r>
        <w:t>Identifier les bénéficiaires potentiels</w:t>
      </w:r>
      <w:bookmarkEnd w:id="283"/>
      <w:bookmarkEnd w:id="284"/>
    </w:p>
    <w:p w14:paraId="44877070" w14:textId="77777777" w:rsidR="00B8324C" w:rsidRDefault="009F4226" w:rsidP="00767C7F">
      <w:pPr>
        <w:pStyle w:val="Titre5"/>
      </w:pPr>
      <w:r w:rsidRPr="009F4226">
        <w:t>Identifier les bénéficiaires potentiels en interrogeant les fichiers des administrations</w:t>
      </w:r>
    </w:p>
    <w:p w14:paraId="4B5C67AA" w14:textId="77777777" w:rsidR="00B719D0" w:rsidRDefault="002D5F6C" w:rsidP="00181084">
      <w:pPr>
        <w:pStyle w:val="Corpsdetexte"/>
        <w:ind w:firstLine="284"/>
        <w:rPr>
          <w:lang w:eastAsia="fr-FR"/>
        </w:rPr>
      </w:pPr>
      <w:r w:rsidRPr="002D5F6C">
        <w:rPr>
          <w:lang w:eastAsia="fr-FR"/>
        </w:rPr>
        <w:t>Comme l’indiquait la Cour des comptes dans son rapport sur le Fonds CMU</w:t>
      </w:r>
      <w:r w:rsidRPr="002D5F6C">
        <w:rPr>
          <w:lang w:eastAsia="fr-FR"/>
        </w:rPr>
        <w:noBreakHyphen/>
        <w:t>C en 2015, à la différence des droits à l’assurance maladie obligatoire de base et des complémentaires santé collectives</w:t>
      </w:r>
      <w:r w:rsidR="003F1DD0">
        <w:rPr>
          <w:lang w:eastAsia="fr-FR"/>
        </w:rPr>
        <w:t xml:space="preserve"> obligatoires pour les salariés</w:t>
      </w:r>
      <w:r w:rsidRPr="002D5F6C">
        <w:rPr>
          <w:lang w:eastAsia="fr-FR"/>
        </w:rPr>
        <w:t>, la CMU-C et l’ACS n’ont pas un caractère obligatoire pour les personnes qui en remplissent les conditions. Dans tous les cas, elles doivent les demander, soit de manière spontanée, soit à la suite d’une sollicitation en ce sens des organismes sociaux ou d’autres intervenants (associations, travailleurs sociaux).</w:t>
      </w:r>
    </w:p>
    <w:p w14:paraId="1AF14DF5" w14:textId="3126D8EE" w:rsidR="002D5F6C" w:rsidRPr="002D5F6C" w:rsidRDefault="002D5F6C" w:rsidP="00181084">
      <w:pPr>
        <w:pStyle w:val="Corpsdetexte"/>
        <w:ind w:firstLine="284"/>
        <w:rPr>
          <w:lang w:eastAsia="fr-FR"/>
        </w:rPr>
      </w:pPr>
      <w:r w:rsidRPr="002D5F6C">
        <w:rPr>
          <w:lang w:eastAsia="fr-FR"/>
        </w:rPr>
        <w:lastRenderedPageBreak/>
        <w:t>Le caractère quérable de ces dispositifs induit des contraintes très fortes sur les formalités à effectuer par leurs demandeurs comme sur la charge d’activité des organismes sociaux</w:t>
      </w:r>
      <w:r w:rsidR="003F1DD0">
        <w:rPr>
          <w:lang w:eastAsia="fr-FR"/>
        </w:rPr>
        <w:t>,</w:t>
      </w:r>
      <w:r w:rsidR="003F1DD0" w:rsidRPr="003F1DD0">
        <w:rPr>
          <w:lang w:eastAsia="fr-FR"/>
        </w:rPr>
        <w:t xml:space="preserve"> </w:t>
      </w:r>
      <w:r w:rsidR="007D7DE0">
        <w:rPr>
          <w:lang w:eastAsia="fr-FR"/>
        </w:rPr>
        <w:t>ce qui favorise</w:t>
      </w:r>
      <w:r w:rsidR="007D7DE0" w:rsidRPr="002D5F6C">
        <w:rPr>
          <w:lang w:eastAsia="fr-FR"/>
        </w:rPr>
        <w:t xml:space="preserve"> </w:t>
      </w:r>
      <w:r w:rsidR="003F1DD0" w:rsidRPr="002D5F6C">
        <w:rPr>
          <w:lang w:eastAsia="fr-FR"/>
        </w:rPr>
        <w:t>le non</w:t>
      </w:r>
      <w:r w:rsidR="007D7DE0">
        <w:rPr>
          <w:lang w:eastAsia="fr-FR"/>
        </w:rPr>
        <w:t xml:space="preserve"> </w:t>
      </w:r>
      <w:r w:rsidR="003F1DD0" w:rsidRPr="002D5F6C">
        <w:rPr>
          <w:lang w:eastAsia="fr-FR"/>
        </w:rPr>
        <w:t>recours</w:t>
      </w:r>
      <w:r w:rsidRPr="002D5F6C">
        <w:rPr>
          <w:lang w:eastAsia="fr-FR"/>
        </w:rPr>
        <w:t>. Ainsi, lutter contre le non recours aux droits à la CMU-C ou à l’ACS suppose d’identifier les personnes él</w:t>
      </w:r>
      <w:r w:rsidRPr="002D5F6C">
        <w:rPr>
          <w:lang w:eastAsia="fr-FR"/>
        </w:rPr>
        <w:t>i</w:t>
      </w:r>
      <w:r w:rsidRPr="002D5F6C">
        <w:rPr>
          <w:lang w:eastAsia="fr-FR"/>
        </w:rPr>
        <w:t>gibles aux dispositifs, à commencer par celles qui réunissent les conditions de ressources</w:t>
      </w:r>
      <w:r>
        <w:rPr>
          <w:lang w:eastAsia="fr-FR"/>
        </w:rPr>
        <w:t xml:space="preserve">. </w:t>
      </w:r>
    </w:p>
    <w:p w14:paraId="36487E9B" w14:textId="3A5CE4A0" w:rsidR="002D5F6C" w:rsidRPr="002D5F6C" w:rsidRDefault="002D5F6C" w:rsidP="00181084">
      <w:pPr>
        <w:pStyle w:val="Corpsdetexte"/>
        <w:ind w:firstLine="284"/>
        <w:rPr>
          <w:lang w:eastAsia="fr-FR"/>
        </w:rPr>
      </w:pPr>
      <w:r w:rsidRPr="002D5F6C">
        <w:rPr>
          <w:lang w:eastAsia="fr-FR"/>
        </w:rPr>
        <w:t xml:space="preserve">La Déclaration </w:t>
      </w:r>
      <w:r w:rsidR="008D6BD4">
        <w:rPr>
          <w:lang w:eastAsia="fr-FR"/>
        </w:rPr>
        <w:t>sociale nominative</w:t>
      </w:r>
      <w:r w:rsidRPr="002D5F6C">
        <w:rPr>
          <w:lang w:eastAsia="fr-FR"/>
        </w:rPr>
        <w:t xml:space="preserve"> (DSN)</w:t>
      </w:r>
      <w:r w:rsidR="008D6BD4">
        <w:rPr>
          <w:lang w:eastAsia="fr-FR"/>
        </w:rPr>
        <w:t xml:space="preserve"> simplifiée</w:t>
      </w:r>
      <w:r w:rsidRPr="002D5F6C">
        <w:rPr>
          <w:lang w:eastAsia="fr-FR"/>
        </w:rPr>
        <w:t xml:space="preserve"> et le prélèvement à la source (PAS) ouvrent des voies no</w:t>
      </w:r>
      <w:r w:rsidRPr="002D5F6C">
        <w:rPr>
          <w:lang w:eastAsia="fr-FR"/>
        </w:rPr>
        <w:t>u</w:t>
      </w:r>
      <w:r w:rsidRPr="002D5F6C">
        <w:rPr>
          <w:lang w:eastAsia="fr-FR"/>
        </w:rPr>
        <w:t>velles pour repérer les populations qui répondent aux conditions de ressources</w:t>
      </w:r>
      <w:r w:rsidRPr="002D5F6C">
        <w:rPr>
          <w:vertAlign w:val="superscript"/>
          <w:lang w:eastAsia="fr-FR"/>
        </w:rPr>
        <w:footnoteReference w:id="14"/>
      </w:r>
      <w:r>
        <w:rPr>
          <w:lang w:eastAsia="fr-FR"/>
        </w:rPr>
        <w:t xml:space="preserve">. </w:t>
      </w:r>
    </w:p>
    <w:p w14:paraId="162DC88B" w14:textId="6EA3C8E1" w:rsidR="002D5F6C" w:rsidRPr="002D5F6C" w:rsidRDefault="002D5F6C" w:rsidP="00181084">
      <w:pPr>
        <w:pStyle w:val="Corpsdetexte"/>
        <w:ind w:firstLine="284"/>
        <w:rPr>
          <w:lang w:eastAsia="fr-FR"/>
        </w:rPr>
      </w:pPr>
      <w:r w:rsidRPr="002D5F6C">
        <w:rPr>
          <w:lang w:eastAsia="fr-FR"/>
        </w:rPr>
        <w:t xml:space="preserve">Le rapport </w:t>
      </w:r>
      <w:r w:rsidR="008D6BD4">
        <w:rPr>
          <w:lang w:eastAsia="fr-FR"/>
        </w:rPr>
        <w:t>de l’I</w:t>
      </w:r>
      <w:r w:rsidR="008D6BD4" w:rsidRPr="008D6BD4">
        <w:rPr>
          <w:lang w:eastAsia="fr-FR"/>
        </w:rPr>
        <w:t xml:space="preserve">nspection générale des affaires sociales </w:t>
      </w:r>
      <w:r w:rsidR="008D6BD4">
        <w:rPr>
          <w:lang w:eastAsia="fr-FR"/>
        </w:rPr>
        <w:t>(IGAS) et de l’</w:t>
      </w:r>
      <w:r w:rsidR="008D6BD4" w:rsidRPr="008D6BD4">
        <w:rPr>
          <w:lang w:eastAsia="fr-FR"/>
        </w:rPr>
        <w:t xml:space="preserve">Inspection générale des finances </w:t>
      </w:r>
      <w:r w:rsidR="008D6BD4">
        <w:rPr>
          <w:lang w:eastAsia="fr-FR"/>
        </w:rPr>
        <w:t>(</w:t>
      </w:r>
      <w:r w:rsidRPr="002D5F6C">
        <w:rPr>
          <w:lang w:eastAsia="fr-FR"/>
        </w:rPr>
        <w:t>IGF</w:t>
      </w:r>
      <w:r w:rsidR="008D6BD4">
        <w:rPr>
          <w:lang w:eastAsia="fr-FR"/>
        </w:rPr>
        <w:t>)</w:t>
      </w:r>
      <w:r w:rsidRPr="002D5F6C">
        <w:rPr>
          <w:lang w:eastAsia="fr-FR"/>
        </w:rPr>
        <w:t xml:space="preserve"> de </w:t>
      </w:r>
      <w:r w:rsidR="003F1DD0">
        <w:rPr>
          <w:lang w:eastAsia="fr-FR"/>
        </w:rPr>
        <w:t xml:space="preserve">juin </w:t>
      </w:r>
      <w:r w:rsidRPr="002D5F6C">
        <w:rPr>
          <w:lang w:eastAsia="fr-FR"/>
        </w:rPr>
        <w:t>2017</w:t>
      </w:r>
      <w:r w:rsidR="008D6BD4">
        <w:rPr>
          <w:lang w:eastAsia="fr-FR"/>
        </w:rPr>
        <w:t>,</w:t>
      </w:r>
      <w:r w:rsidRPr="002D5F6C">
        <w:rPr>
          <w:lang w:eastAsia="fr-FR"/>
        </w:rPr>
        <w:t xml:space="preserve"> relatif à la modernisation de la délivrance des prestations sociales</w:t>
      </w:r>
      <w:r w:rsidR="008D6BD4">
        <w:rPr>
          <w:lang w:eastAsia="fr-FR"/>
        </w:rPr>
        <w:t>,</w:t>
      </w:r>
      <w:r w:rsidRPr="002D5F6C">
        <w:rPr>
          <w:lang w:eastAsia="fr-FR"/>
        </w:rPr>
        <w:t xml:space="preserve"> propose un schéma cible pour parv</w:t>
      </w:r>
      <w:r w:rsidRPr="002D5F6C">
        <w:rPr>
          <w:lang w:eastAsia="fr-FR"/>
        </w:rPr>
        <w:t>e</w:t>
      </w:r>
      <w:r w:rsidRPr="002D5F6C">
        <w:rPr>
          <w:lang w:eastAsia="fr-FR"/>
        </w:rPr>
        <w:t>nir à un recensement complet et contemporain des ressources. Il préconise l’utilisation de la DSN pour alimenter automatiquement la partie salaire des bases ressources des assurés, complétée par la mise en place d'une déclar</w:t>
      </w:r>
      <w:r w:rsidRPr="002D5F6C">
        <w:rPr>
          <w:lang w:eastAsia="fr-FR"/>
        </w:rPr>
        <w:t>a</w:t>
      </w:r>
      <w:r w:rsidRPr="002D5F6C">
        <w:rPr>
          <w:lang w:eastAsia="fr-FR"/>
        </w:rPr>
        <w:t>tion nominative complémentaire (DNC) mensuelle pour le recensement des autres revenus imposables et des revenus versés par des tiers. Cela permettrait le pré-remplissage des principales ressources des bénéficiaires p</w:t>
      </w:r>
      <w:r w:rsidRPr="002D5F6C">
        <w:rPr>
          <w:lang w:eastAsia="fr-FR"/>
        </w:rPr>
        <w:t>o</w:t>
      </w:r>
      <w:r w:rsidRPr="002D5F6C">
        <w:rPr>
          <w:lang w:eastAsia="fr-FR"/>
        </w:rPr>
        <w:t>tentiels de la CMU-C et de l’ACS, sans pour autant permettre une automatisation complète dans la mesure où les ressources prises en compte pour le droit à la CMU-C et à l’ACS sont exhaustives : elles comportent les revenus non imposa</w:t>
      </w:r>
      <w:r>
        <w:rPr>
          <w:lang w:eastAsia="fr-FR"/>
        </w:rPr>
        <w:t xml:space="preserve">bles, les dons familiaux, etc. </w:t>
      </w:r>
    </w:p>
    <w:p w14:paraId="757333DD" w14:textId="2C66E274" w:rsidR="002D5F6C" w:rsidRPr="002D5F6C" w:rsidRDefault="002D5F6C" w:rsidP="00181084">
      <w:pPr>
        <w:pStyle w:val="Corpsdetexte"/>
        <w:ind w:firstLine="284"/>
        <w:rPr>
          <w:lang w:eastAsia="fr-FR"/>
        </w:rPr>
      </w:pPr>
      <w:r w:rsidRPr="002D5F6C">
        <w:rPr>
          <w:lang w:eastAsia="fr-FR"/>
        </w:rPr>
        <w:t>Ces données pourraient être consultables à partir d’un entrepôt de données sur le modèle de la Banque-Carrefour de la Sécurité sociale belge (</w:t>
      </w:r>
      <w:r w:rsidRPr="00EA1EEF">
        <w:rPr>
          <w:i/>
          <w:lang w:eastAsia="fr-FR"/>
        </w:rPr>
        <w:t>cf.</w:t>
      </w:r>
      <w:r w:rsidRPr="002D5F6C">
        <w:rPr>
          <w:lang w:eastAsia="fr-FR"/>
        </w:rPr>
        <w:t xml:space="preserve"> annexe 1</w:t>
      </w:r>
      <w:r w:rsidR="003D3EDF">
        <w:rPr>
          <w:lang w:eastAsia="fr-FR"/>
        </w:rPr>
        <w:t>6</w:t>
      </w:r>
      <w:r w:rsidRPr="002D5F6C">
        <w:rPr>
          <w:lang w:eastAsia="fr-FR"/>
        </w:rPr>
        <w:t>).</w:t>
      </w:r>
    </w:p>
    <w:p w14:paraId="5F99AE67" w14:textId="020A36D0" w:rsidR="002D5F6C" w:rsidRPr="002D5F6C" w:rsidRDefault="002D5F6C" w:rsidP="00181084">
      <w:pPr>
        <w:pStyle w:val="Corpsdetexte"/>
        <w:ind w:firstLine="284"/>
        <w:rPr>
          <w:lang w:eastAsia="fr-FR"/>
        </w:rPr>
      </w:pPr>
      <w:r w:rsidRPr="002D5F6C">
        <w:rPr>
          <w:lang w:eastAsia="fr-FR"/>
        </w:rPr>
        <w:t>A l’instar du mécanisme utilisé depuis janvier 2018 pour l’octroi du chèque énergie, il serait alors possible d’identifier, en fonction de la composition du foyer fiscal, les personnes éligibles aux dispositifs, de leur en prop</w:t>
      </w:r>
      <w:r w:rsidRPr="002D5F6C">
        <w:rPr>
          <w:lang w:eastAsia="fr-FR"/>
        </w:rPr>
        <w:t>o</w:t>
      </w:r>
      <w:r w:rsidRPr="002D5F6C">
        <w:rPr>
          <w:lang w:eastAsia="fr-FR"/>
        </w:rPr>
        <w:t>ser le bénéfice et de pré-rem</w:t>
      </w:r>
      <w:r>
        <w:rPr>
          <w:lang w:eastAsia="fr-FR"/>
        </w:rPr>
        <w:t xml:space="preserve">plir le formulaire de demande. </w:t>
      </w:r>
    </w:p>
    <w:p w14:paraId="25C48ED8" w14:textId="6C454B6F" w:rsidR="002D5F6C" w:rsidRPr="002D5F6C" w:rsidRDefault="002D5F6C" w:rsidP="002D5F6C">
      <w:pPr>
        <w:pStyle w:val="Corpsdetexte"/>
        <w:rPr>
          <w:lang w:eastAsia="fr-FR"/>
        </w:rPr>
      </w:pPr>
      <w:r w:rsidRPr="002D5F6C">
        <w:rPr>
          <w:lang w:eastAsia="fr-FR"/>
        </w:rPr>
        <w:t>En cible, outre la fiabilisation des données et du processus d’attribution des droits, ce dispositif représenterait des gains de gestion pour l’assurance maladie</w:t>
      </w:r>
      <w:r w:rsidRPr="002D5F6C">
        <w:rPr>
          <w:vertAlign w:val="superscript"/>
          <w:lang w:eastAsia="fr-FR"/>
        </w:rPr>
        <w:footnoteReference w:id="15"/>
      </w:r>
      <w:r w:rsidRPr="002D5F6C">
        <w:rPr>
          <w:lang w:eastAsia="fr-FR"/>
        </w:rPr>
        <w:t xml:space="preserve">, gains qui pourraient être mis à profit pour </w:t>
      </w:r>
      <w:r w:rsidR="000315EC">
        <w:rPr>
          <w:lang w:eastAsia="fr-FR"/>
        </w:rPr>
        <w:t>« </w:t>
      </w:r>
      <w:r w:rsidRPr="002D5F6C">
        <w:rPr>
          <w:lang w:eastAsia="fr-FR"/>
        </w:rPr>
        <w:t>aller vers</w:t>
      </w:r>
      <w:r w:rsidR="000315EC">
        <w:rPr>
          <w:lang w:eastAsia="fr-FR"/>
        </w:rPr>
        <w:t> »</w:t>
      </w:r>
      <w:r w:rsidRPr="002D5F6C">
        <w:rPr>
          <w:lang w:eastAsia="fr-FR"/>
        </w:rPr>
        <w:t xml:space="preserve"> les personnes non identifiées dans les bases fiscales et sociales</w:t>
      </w:r>
      <w:r w:rsidR="000315EC">
        <w:rPr>
          <w:lang w:eastAsia="fr-FR"/>
        </w:rPr>
        <w:t xml:space="preserve"> </w:t>
      </w:r>
      <w:r w:rsidRPr="002D5F6C">
        <w:rPr>
          <w:lang w:eastAsia="fr-FR"/>
        </w:rPr>
        <w:t>et renforcer l’accompagnement des personnes v</w:t>
      </w:r>
      <w:r w:rsidR="004674F9">
        <w:rPr>
          <w:lang w:eastAsia="fr-FR"/>
        </w:rPr>
        <w:t>ers les soins et la prévention</w:t>
      </w:r>
      <w:r w:rsidR="000315EC">
        <w:rPr>
          <w:lang w:eastAsia="fr-FR"/>
        </w:rPr>
        <w:t xml:space="preserve"> (cf. partie 2 du rapport)</w:t>
      </w:r>
      <w:r w:rsidR="004674F9">
        <w:rPr>
          <w:lang w:eastAsia="fr-FR"/>
        </w:rPr>
        <w:t>.</w:t>
      </w:r>
    </w:p>
    <w:p w14:paraId="00A8BDC1" w14:textId="69576BF5" w:rsidR="002D5F6C" w:rsidRDefault="002D5F6C" w:rsidP="002D5F6C">
      <w:pPr>
        <w:pStyle w:val="Corpsdetexte"/>
        <w:rPr>
          <w:lang w:eastAsia="fr-FR"/>
        </w:rPr>
      </w:pPr>
      <w:r w:rsidRPr="002D5F6C">
        <w:rPr>
          <w:lang w:eastAsia="fr-FR"/>
        </w:rPr>
        <w:t>En attendant le déploiement effectif de telles solutions, il est possible d’optimiser d’ores et déjà le partage de do</w:t>
      </w:r>
      <w:r w:rsidRPr="002D5F6C">
        <w:rPr>
          <w:lang w:eastAsia="fr-FR"/>
        </w:rPr>
        <w:t>n</w:t>
      </w:r>
      <w:r w:rsidRPr="002D5F6C">
        <w:rPr>
          <w:lang w:eastAsia="fr-FR"/>
        </w:rPr>
        <w:t xml:space="preserve">nées entre les différents opérateurs de la Sécurité sociale afin de rendre automatiques les droits à une couverture santé qui sont connexes au bénéfice d’un minima social, tel que le </w:t>
      </w:r>
      <w:r w:rsidR="00027A58">
        <w:rPr>
          <w:lang w:eastAsia="fr-FR"/>
        </w:rPr>
        <w:t>revenu de solidarité active (</w:t>
      </w:r>
      <w:r w:rsidRPr="002D5F6C">
        <w:rPr>
          <w:lang w:eastAsia="fr-FR"/>
        </w:rPr>
        <w:t>RSA</w:t>
      </w:r>
      <w:r w:rsidR="00027A58">
        <w:rPr>
          <w:lang w:eastAsia="fr-FR"/>
        </w:rPr>
        <w:t>)</w:t>
      </w:r>
      <w:r w:rsidRPr="002D5F6C">
        <w:rPr>
          <w:lang w:eastAsia="fr-FR"/>
        </w:rPr>
        <w:t xml:space="preserve">, </w:t>
      </w:r>
      <w:r w:rsidR="00B46142">
        <w:rPr>
          <w:lang w:eastAsia="fr-FR"/>
        </w:rPr>
        <w:t>etc.</w:t>
      </w:r>
      <w:r w:rsidRPr="002D5F6C">
        <w:rPr>
          <w:lang w:eastAsia="fr-FR"/>
        </w:rPr>
        <w:t xml:space="preserve">  </w:t>
      </w:r>
    </w:p>
    <w:p w14:paraId="36779D7A" w14:textId="25E115CF" w:rsidR="007D5CFF" w:rsidRDefault="007D5CFF" w:rsidP="002D5F6C">
      <w:pPr>
        <w:pStyle w:val="Corpsdetexte"/>
        <w:rPr>
          <w:lang w:eastAsia="fr-FR"/>
        </w:rPr>
      </w:pPr>
    </w:p>
    <w:p w14:paraId="16164602" w14:textId="59D57DDA" w:rsidR="007D5CFF" w:rsidRPr="004674F9" w:rsidRDefault="007D5CFF" w:rsidP="007D5CFF">
      <w:pPr>
        <w:pStyle w:val="EncadreCorpsdeTexte"/>
      </w:pPr>
      <w:r>
        <w:t xml:space="preserve">Proposition n°1 – </w:t>
      </w:r>
      <w:r w:rsidR="008A4C1C">
        <w:t>O</w:t>
      </w:r>
      <w:r>
        <w:t>ptimiser le partage des données entre les différents opérateurs de la sécurité soci</w:t>
      </w:r>
      <w:r w:rsidR="00E4101C">
        <w:t>a</w:t>
      </w:r>
      <w:r>
        <w:t xml:space="preserve">le pour identifier les personnes </w:t>
      </w:r>
      <w:r w:rsidR="000315EC">
        <w:t xml:space="preserve">fragiles </w:t>
      </w:r>
      <w:r>
        <w:t>éligibles</w:t>
      </w:r>
      <w:r w:rsidR="00E4101C">
        <w:t xml:space="preserve"> à une couverture santé</w:t>
      </w:r>
      <w:r w:rsidR="005D6055">
        <w:t>.</w:t>
      </w:r>
    </w:p>
    <w:p w14:paraId="470E5A6D" w14:textId="77777777" w:rsidR="007D5CFF" w:rsidRPr="002D5F6C" w:rsidRDefault="007D5CFF" w:rsidP="002D5F6C">
      <w:pPr>
        <w:pStyle w:val="Corpsdetexte"/>
        <w:rPr>
          <w:lang w:eastAsia="fr-FR"/>
        </w:rPr>
      </w:pPr>
    </w:p>
    <w:p w14:paraId="64843AF3" w14:textId="77777777" w:rsidR="004674F9" w:rsidRPr="004674F9" w:rsidRDefault="004674F9" w:rsidP="004674F9">
      <w:pPr>
        <w:pStyle w:val="Titre4"/>
      </w:pPr>
      <w:bookmarkStart w:id="285" w:name="_Toc517957812"/>
      <w:bookmarkStart w:id="286" w:name="_Toc518750555"/>
      <w:bookmarkStart w:id="287" w:name="_Toc523327678"/>
      <w:r w:rsidRPr="004674F9">
        <w:lastRenderedPageBreak/>
        <w:t>Rendre automatique l’attribution des droits</w:t>
      </w:r>
      <w:bookmarkEnd w:id="285"/>
      <w:bookmarkEnd w:id="286"/>
      <w:bookmarkEnd w:id="287"/>
    </w:p>
    <w:p w14:paraId="3FD67211" w14:textId="77777777" w:rsidR="004674F9" w:rsidRPr="004674F9" w:rsidRDefault="004674F9" w:rsidP="004674F9">
      <w:pPr>
        <w:pStyle w:val="Titre5"/>
      </w:pPr>
      <w:r w:rsidRPr="004674F9">
        <w:t xml:space="preserve">Rendre automatique l’attribution de la CMU-C aux bénéficiaires du RSA socle </w:t>
      </w:r>
    </w:p>
    <w:p w14:paraId="20E2C9CC" w14:textId="396BC428" w:rsidR="004674F9" w:rsidRPr="004674F9" w:rsidRDefault="004674F9" w:rsidP="00181084">
      <w:pPr>
        <w:pStyle w:val="Corpsdetexte"/>
        <w:ind w:firstLine="284"/>
        <w:rPr>
          <w:lang w:eastAsia="fr-FR"/>
        </w:rPr>
      </w:pPr>
      <w:r w:rsidRPr="004674F9">
        <w:rPr>
          <w:lang w:eastAsia="fr-FR"/>
        </w:rPr>
        <w:t>Les bénéficiaires du RSA socle sont de fait éligibles à la CMU-C, le montant du RSA étant inférieur au niveau de ressources maximal qui ouvre droit à la CMU-C. Ils sont « réputés satisfaire les conditions [de ressources] »</w:t>
      </w:r>
      <w:r w:rsidRPr="004674F9">
        <w:rPr>
          <w:vertAlign w:val="superscript"/>
          <w:lang w:eastAsia="fr-FR"/>
        </w:rPr>
        <w:footnoteReference w:id="16"/>
      </w:r>
      <w:r w:rsidRPr="004674F9">
        <w:rPr>
          <w:lang w:eastAsia="fr-FR"/>
        </w:rPr>
        <w:t xml:space="preserve"> pe</w:t>
      </w:r>
      <w:r w:rsidRPr="004674F9">
        <w:rPr>
          <w:lang w:eastAsia="fr-FR"/>
        </w:rPr>
        <w:t>r</w:t>
      </w:r>
      <w:r w:rsidRPr="004674F9">
        <w:rPr>
          <w:lang w:eastAsia="fr-FR"/>
        </w:rPr>
        <w:t>mettant d’accéder à la CMU-C. Pourtant, le non recours à la CMU-C parmi cette population est de 20%</w:t>
      </w:r>
      <w:r w:rsidRPr="004674F9">
        <w:rPr>
          <w:vertAlign w:val="superscript"/>
          <w:lang w:eastAsia="fr-FR"/>
        </w:rPr>
        <w:footnoteReference w:id="17"/>
      </w:r>
      <w:r w:rsidRPr="004674F9">
        <w:rPr>
          <w:lang w:eastAsia="fr-FR"/>
        </w:rPr>
        <w:t xml:space="preserve">. En effet, le fait de disposer de plein droit de la CMU-C ne dispense pas les bénéficiaires du RSA d’effectuer la démarche administrative de demande auprès de leur caisse d’assurance maladie, avec une procédure simplifiée dans ce cas : fourniture d’une attestation de ressources établie par la CAF et choix de l’organisme gestionnaire de la CMU-C. </w:t>
      </w:r>
    </w:p>
    <w:p w14:paraId="32370513" w14:textId="77777777" w:rsidR="00610027" w:rsidRDefault="004674F9" w:rsidP="00181084">
      <w:pPr>
        <w:pStyle w:val="Corpsdetexte"/>
        <w:ind w:firstLine="284"/>
        <w:rPr>
          <w:lang w:eastAsia="fr-FR"/>
        </w:rPr>
      </w:pPr>
      <w:r w:rsidRPr="004674F9">
        <w:rPr>
          <w:lang w:eastAsia="fr-FR"/>
        </w:rPr>
        <w:t>En 2012</w:t>
      </w:r>
      <w:r w:rsidRPr="004674F9">
        <w:rPr>
          <w:vertAlign w:val="superscript"/>
          <w:lang w:eastAsia="fr-FR"/>
        </w:rPr>
        <w:footnoteReference w:id="18"/>
      </w:r>
      <w:r w:rsidRPr="004674F9">
        <w:rPr>
          <w:lang w:eastAsia="fr-FR"/>
        </w:rPr>
        <w:t>, les bénéficiaires du RSA socle non couverts par la CMU-C expliquaient cette absence de couverture par des motifs qui renvoient à une absence de connaissance du dispositif et de ses avantages : une personne sur deux estime que son revenu est trop élevé pour bénéficier de la CMU-C, ou indique être déjà couvert par une m</w:t>
      </w:r>
      <w:r w:rsidRPr="004674F9">
        <w:rPr>
          <w:lang w:eastAsia="fr-FR"/>
        </w:rPr>
        <w:t>u</w:t>
      </w:r>
      <w:r w:rsidRPr="004674F9">
        <w:rPr>
          <w:lang w:eastAsia="fr-FR"/>
        </w:rPr>
        <w:t>tuelle.</w:t>
      </w:r>
    </w:p>
    <w:p w14:paraId="0761ED30" w14:textId="6E4A0AF4" w:rsidR="00B719D0" w:rsidRDefault="00610027" w:rsidP="00181084">
      <w:pPr>
        <w:pStyle w:val="Corpsdetexte"/>
        <w:ind w:firstLine="284"/>
        <w:rPr>
          <w:lang w:eastAsia="fr-FR"/>
        </w:rPr>
      </w:pPr>
      <w:r w:rsidRPr="004674F9">
        <w:rPr>
          <w:lang w:eastAsia="fr-FR"/>
        </w:rPr>
        <w:t>En termes de finances sociales, le coût immédiat de l’attribution automatique de la CMU</w:t>
      </w:r>
      <w:r w:rsidRPr="004674F9">
        <w:rPr>
          <w:lang w:eastAsia="fr-FR"/>
        </w:rPr>
        <w:noBreakHyphen/>
        <w:t>C aux bénéficiaires du RSA dépendra du comportement de consommation de soins des populations concernées. S’appuyant sur la co</w:t>
      </w:r>
      <w:r w:rsidRPr="004674F9">
        <w:rPr>
          <w:lang w:eastAsia="fr-FR"/>
        </w:rPr>
        <w:t>n</w:t>
      </w:r>
      <w:r w:rsidRPr="004674F9">
        <w:rPr>
          <w:lang w:eastAsia="fr-FR"/>
        </w:rPr>
        <w:t xml:space="preserve">nexion des systèmes d’information des </w:t>
      </w:r>
      <w:r w:rsidR="00162802">
        <w:rPr>
          <w:lang w:eastAsia="fr-FR"/>
        </w:rPr>
        <w:t>c</w:t>
      </w:r>
      <w:r w:rsidR="008D6BD4" w:rsidRPr="008D6BD4">
        <w:rPr>
          <w:lang w:eastAsia="fr-FR"/>
        </w:rPr>
        <w:t>aisse</w:t>
      </w:r>
      <w:r w:rsidR="008D6BD4">
        <w:rPr>
          <w:lang w:eastAsia="fr-FR"/>
        </w:rPr>
        <w:t>s</w:t>
      </w:r>
      <w:r w:rsidR="008D6BD4" w:rsidRPr="008D6BD4">
        <w:rPr>
          <w:lang w:eastAsia="fr-FR"/>
        </w:rPr>
        <w:t xml:space="preserve"> d’allocations familiales </w:t>
      </w:r>
      <w:r w:rsidR="008D6BD4">
        <w:rPr>
          <w:lang w:eastAsia="fr-FR"/>
        </w:rPr>
        <w:t>(</w:t>
      </w:r>
      <w:r w:rsidRPr="004674F9">
        <w:rPr>
          <w:lang w:eastAsia="fr-FR"/>
        </w:rPr>
        <w:t>CAF</w:t>
      </w:r>
      <w:r w:rsidR="008D6BD4">
        <w:rPr>
          <w:lang w:eastAsia="fr-FR"/>
        </w:rPr>
        <w:t>)</w:t>
      </w:r>
      <w:r w:rsidRPr="004674F9">
        <w:rPr>
          <w:lang w:eastAsia="fr-FR"/>
        </w:rPr>
        <w:t xml:space="preserve"> et des </w:t>
      </w:r>
      <w:r w:rsidR="008D6BD4">
        <w:rPr>
          <w:lang w:eastAsia="fr-FR"/>
        </w:rPr>
        <w:t>caisses primaires d’assurance maladie (</w:t>
      </w:r>
      <w:r w:rsidRPr="004674F9">
        <w:rPr>
          <w:lang w:eastAsia="fr-FR"/>
        </w:rPr>
        <w:t>CPAM</w:t>
      </w:r>
      <w:r w:rsidR="008D6BD4">
        <w:rPr>
          <w:lang w:eastAsia="fr-FR"/>
        </w:rPr>
        <w:t>)</w:t>
      </w:r>
      <w:r w:rsidRPr="004674F9">
        <w:rPr>
          <w:lang w:eastAsia="fr-FR"/>
        </w:rPr>
        <w:t xml:space="preserve">, cette mesure se traduirait à très court terme par des économies de coûts de gestion pour la branche maladie (suppression de la lourdeur d’instruction des dossiers par les caisses, suppression des indus et des moyens dédiés à leur récupération). </w:t>
      </w:r>
    </w:p>
    <w:p w14:paraId="41455443" w14:textId="5611D80B" w:rsidR="00610027" w:rsidRPr="004674F9" w:rsidRDefault="00610027" w:rsidP="00181084">
      <w:pPr>
        <w:pStyle w:val="Corpsdetexte"/>
        <w:ind w:firstLine="284"/>
        <w:rPr>
          <w:lang w:eastAsia="fr-FR"/>
        </w:rPr>
      </w:pPr>
      <w:r w:rsidRPr="004674F9">
        <w:rPr>
          <w:lang w:eastAsia="fr-FR"/>
        </w:rPr>
        <w:t>A moyen-long terme, le recours aux soins comme à la prévention en santé génère des économies sur les d</w:t>
      </w:r>
      <w:r w:rsidRPr="004674F9">
        <w:rPr>
          <w:lang w:eastAsia="fr-FR"/>
        </w:rPr>
        <w:t>é</w:t>
      </w:r>
      <w:r w:rsidRPr="004674F9">
        <w:rPr>
          <w:lang w:eastAsia="fr-FR"/>
        </w:rPr>
        <w:t xml:space="preserve">penses de santé. Ces économies ont été chiffrées en 2013 par le </w:t>
      </w:r>
      <w:r w:rsidR="008D6BD4">
        <w:rPr>
          <w:lang w:eastAsia="fr-FR"/>
        </w:rPr>
        <w:t>S</w:t>
      </w:r>
      <w:r w:rsidR="008D6BD4" w:rsidRPr="008D6BD4">
        <w:rPr>
          <w:lang w:eastAsia="fr-FR"/>
        </w:rPr>
        <w:t xml:space="preserve">ecrétariat général pour la modernisation de l'action publique </w:t>
      </w:r>
      <w:r w:rsidR="008D6BD4">
        <w:rPr>
          <w:lang w:eastAsia="fr-FR"/>
        </w:rPr>
        <w:t>(</w:t>
      </w:r>
      <w:r w:rsidRPr="004674F9">
        <w:rPr>
          <w:lang w:eastAsia="fr-FR"/>
        </w:rPr>
        <w:t>SGMAP</w:t>
      </w:r>
      <w:r w:rsidR="008D6BD4">
        <w:rPr>
          <w:lang w:eastAsia="fr-FR"/>
        </w:rPr>
        <w:t>)</w:t>
      </w:r>
      <w:r w:rsidRPr="004674F9">
        <w:rPr>
          <w:lang w:eastAsia="fr-FR"/>
        </w:rPr>
        <w:t xml:space="preserve"> dans le cadre du rapport Archimbaud : l’économie générée par le recours à la CMU-C est estimée à 1</w:t>
      </w:r>
      <w:r w:rsidR="00E65AE7">
        <w:rPr>
          <w:lang w:eastAsia="fr-FR"/>
        </w:rPr>
        <w:t xml:space="preserve"> </w:t>
      </w:r>
      <w:r w:rsidRPr="004674F9">
        <w:rPr>
          <w:lang w:eastAsia="fr-FR"/>
        </w:rPr>
        <w:t>000</w:t>
      </w:r>
      <w:r w:rsidR="009C3ADC">
        <w:rPr>
          <w:lang w:eastAsia="fr-FR"/>
        </w:rPr>
        <w:t xml:space="preserve"> euros</w:t>
      </w:r>
      <w:r w:rsidRPr="004674F9">
        <w:rPr>
          <w:lang w:eastAsia="fr-FR"/>
        </w:rPr>
        <w:t xml:space="preserve"> par foyer, à 300</w:t>
      </w:r>
      <w:r w:rsidR="009C3ADC">
        <w:rPr>
          <w:lang w:eastAsia="fr-FR"/>
        </w:rPr>
        <w:t xml:space="preserve"> euros</w:t>
      </w:r>
      <w:r w:rsidRPr="004674F9">
        <w:rPr>
          <w:lang w:eastAsia="fr-FR"/>
        </w:rPr>
        <w:t xml:space="preserve"> pour l’ACS. Selon ces estimations, le gisement d’économie </w:t>
      </w:r>
      <w:r w:rsidR="00A53851">
        <w:rPr>
          <w:lang w:eastAsia="fr-FR"/>
        </w:rPr>
        <w:t>induit par l’attribution automatique de la CMU</w:t>
      </w:r>
      <w:r w:rsidR="00A53851">
        <w:rPr>
          <w:lang w:eastAsia="fr-FR"/>
        </w:rPr>
        <w:noBreakHyphen/>
        <w:t xml:space="preserve">C aux bénéficiaires du RSA </w:t>
      </w:r>
      <w:r w:rsidRPr="004674F9">
        <w:rPr>
          <w:lang w:eastAsia="fr-FR"/>
        </w:rPr>
        <w:t xml:space="preserve">s’élèverait à </w:t>
      </w:r>
      <w:r w:rsidR="00A53851">
        <w:rPr>
          <w:lang w:eastAsia="fr-FR"/>
        </w:rPr>
        <w:t xml:space="preserve">environ 370 </w:t>
      </w:r>
      <w:r w:rsidR="009C3ADC">
        <w:rPr>
          <w:lang w:eastAsia="fr-FR"/>
        </w:rPr>
        <w:t>millions d’euros</w:t>
      </w:r>
      <w:r w:rsidRPr="004674F9">
        <w:rPr>
          <w:lang w:eastAsia="fr-FR"/>
        </w:rPr>
        <w:t>.</w:t>
      </w:r>
    </w:p>
    <w:p w14:paraId="1BBE70B9" w14:textId="6E6952BE" w:rsidR="00610027" w:rsidRDefault="00610027" w:rsidP="00610027">
      <w:pPr>
        <w:pStyle w:val="Corpsdetexte"/>
        <w:rPr>
          <w:lang w:eastAsia="fr-FR"/>
        </w:rPr>
      </w:pPr>
      <w:r w:rsidRPr="004674F9">
        <w:rPr>
          <w:lang w:eastAsia="fr-FR"/>
        </w:rPr>
        <w:t xml:space="preserve">L’attribution automatique du droit à la CMU-C aurait un coût </w:t>
      </w:r>
      <w:r w:rsidR="00311FB4">
        <w:rPr>
          <w:lang w:eastAsia="fr-FR"/>
        </w:rPr>
        <w:t xml:space="preserve">brut </w:t>
      </w:r>
      <w:r w:rsidRPr="004674F9">
        <w:rPr>
          <w:lang w:eastAsia="fr-FR"/>
        </w:rPr>
        <w:t xml:space="preserve">maximal de l’ordre de 300 </w:t>
      </w:r>
      <w:r w:rsidR="009C3ADC">
        <w:rPr>
          <w:lang w:eastAsia="fr-FR"/>
        </w:rPr>
        <w:t>millions d’euros</w:t>
      </w:r>
      <w:r w:rsidRPr="004674F9">
        <w:rPr>
          <w:lang w:eastAsia="fr-FR"/>
        </w:rPr>
        <w:t xml:space="preserve"> si les bénéficiaires du RSA concernés consommaient en moyenne comme les titulaires actuels de la CMU</w:t>
      </w:r>
      <w:r w:rsidRPr="004674F9">
        <w:rPr>
          <w:lang w:eastAsia="fr-FR"/>
        </w:rPr>
        <w:noBreakHyphen/>
        <w:t>C, ce qui con</w:t>
      </w:r>
      <w:r w:rsidRPr="004674F9">
        <w:rPr>
          <w:lang w:eastAsia="fr-FR"/>
        </w:rPr>
        <w:t>s</w:t>
      </w:r>
      <w:r w:rsidRPr="004674F9">
        <w:rPr>
          <w:lang w:eastAsia="fr-FR"/>
        </w:rPr>
        <w:t>titue une hypothèse forte</w:t>
      </w:r>
      <w:r>
        <w:rPr>
          <w:lang w:eastAsia="fr-FR"/>
        </w:rPr>
        <w:t>.</w:t>
      </w:r>
      <w:r w:rsidR="00311FB4">
        <w:rPr>
          <w:lang w:eastAsia="fr-FR"/>
        </w:rPr>
        <w:t xml:space="preserve"> Ce coût de 300 </w:t>
      </w:r>
      <w:r w:rsidR="009C3ADC">
        <w:rPr>
          <w:lang w:eastAsia="fr-FR"/>
        </w:rPr>
        <w:t>millions d’euros</w:t>
      </w:r>
      <w:r w:rsidR="00311FB4">
        <w:rPr>
          <w:lang w:eastAsia="fr-FR"/>
        </w:rPr>
        <w:t xml:space="preserve"> ne tient compte ni des économies en gestion pour l’</w:t>
      </w:r>
      <w:r w:rsidR="00027A58">
        <w:rPr>
          <w:lang w:eastAsia="fr-FR"/>
        </w:rPr>
        <w:t>a</w:t>
      </w:r>
      <w:r w:rsidR="00311FB4">
        <w:rPr>
          <w:lang w:eastAsia="fr-FR"/>
        </w:rPr>
        <w:t xml:space="preserve">ssurance maladie, ni des économies à termes sur les dépenses de santé.  </w:t>
      </w:r>
    </w:p>
    <w:p w14:paraId="4DA9C779" w14:textId="77777777" w:rsidR="00CD244C" w:rsidRPr="00CD244C" w:rsidRDefault="00CD244C" w:rsidP="00CD244C">
      <w:pPr>
        <w:pStyle w:val="Titre4"/>
      </w:pPr>
      <w:bookmarkStart w:id="288" w:name="_Toc519505117"/>
      <w:bookmarkStart w:id="289" w:name="_Toc519513519"/>
      <w:bookmarkStart w:id="290" w:name="_Toc519513734"/>
      <w:bookmarkStart w:id="291" w:name="_Toc519514270"/>
      <w:bookmarkStart w:id="292" w:name="_Toc519505118"/>
      <w:bookmarkStart w:id="293" w:name="_Toc519513520"/>
      <w:bookmarkStart w:id="294" w:name="_Toc519513735"/>
      <w:bookmarkStart w:id="295" w:name="_Toc519514271"/>
      <w:bookmarkStart w:id="296" w:name="_Toc518750556"/>
      <w:bookmarkStart w:id="297" w:name="_Toc523327679"/>
      <w:bookmarkEnd w:id="288"/>
      <w:bookmarkEnd w:id="289"/>
      <w:bookmarkEnd w:id="290"/>
      <w:bookmarkEnd w:id="291"/>
      <w:bookmarkEnd w:id="292"/>
      <w:bookmarkEnd w:id="293"/>
      <w:bookmarkEnd w:id="294"/>
      <w:bookmarkEnd w:id="295"/>
      <w:r w:rsidRPr="00CD244C">
        <w:t>Eviter les ruptures de droit</w:t>
      </w:r>
      <w:bookmarkEnd w:id="296"/>
      <w:bookmarkEnd w:id="297"/>
    </w:p>
    <w:p w14:paraId="05564BE5" w14:textId="77777777" w:rsidR="00CD244C" w:rsidRPr="00CD244C" w:rsidRDefault="00CD244C" w:rsidP="00CD244C">
      <w:pPr>
        <w:pStyle w:val="Titre5"/>
      </w:pPr>
      <w:r w:rsidRPr="00CD244C">
        <w:t>Rendre automatique le renouvellement des droits pour les allocataires du RSA et de l’AAH</w:t>
      </w:r>
    </w:p>
    <w:p w14:paraId="5AAA48FC" w14:textId="173F65FF" w:rsidR="00CD244C" w:rsidRPr="00CD244C" w:rsidRDefault="00CD244C" w:rsidP="00181084">
      <w:pPr>
        <w:pStyle w:val="CorpsdetexteCentre"/>
        <w:ind w:firstLine="284"/>
        <w:jc w:val="both"/>
        <w:rPr>
          <w:lang w:val="fr-BE"/>
        </w:rPr>
      </w:pPr>
      <w:r w:rsidRPr="00CD244C">
        <w:rPr>
          <w:lang w:val="fr-BE"/>
        </w:rPr>
        <w:t xml:space="preserve">La loi relative à l’adaptation de la société au vieillissement a mis en place le renouvellement automatique de </w:t>
      </w:r>
      <w:r w:rsidRPr="00CD244C">
        <w:t>l’</w:t>
      </w:r>
      <w:r w:rsidRPr="00CD244C">
        <w:rPr>
          <w:lang w:val="fr-BE"/>
        </w:rPr>
        <w:t>ACS pour les allocataires de l’</w:t>
      </w:r>
      <w:r w:rsidR="00027A58" w:rsidRPr="00027A58">
        <w:rPr>
          <w:lang w:val="fr-BE"/>
        </w:rPr>
        <w:t>allocation de solidarité aux pe</w:t>
      </w:r>
      <w:r w:rsidR="00027A58" w:rsidRPr="00027A58">
        <w:rPr>
          <w:lang w:val="fr-BE"/>
        </w:rPr>
        <w:t>r</w:t>
      </w:r>
      <w:r w:rsidR="00027A58" w:rsidRPr="00027A58">
        <w:rPr>
          <w:lang w:val="fr-BE"/>
        </w:rPr>
        <w:t xml:space="preserve">sonnes âgées </w:t>
      </w:r>
      <w:r w:rsidR="00027A58">
        <w:rPr>
          <w:lang w:val="fr-BE"/>
        </w:rPr>
        <w:t>(</w:t>
      </w:r>
      <w:r w:rsidRPr="00CD244C">
        <w:rPr>
          <w:lang w:val="fr-BE"/>
        </w:rPr>
        <w:t>ASPA</w:t>
      </w:r>
      <w:r w:rsidR="00027A58">
        <w:rPr>
          <w:lang w:val="fr-BE"/>
        </w:rPr>
        <w:t>)</w:t>
      </w:r>
      <w:r w:rsidRPr="00CD244C">
        <w:rPr>
          <w:lang w:val="fr-BE"/>
        </w:rPr>
        <w:t xml:space="preserve"> ou de l’une des allocations du minimum vieillesse, à compter de 2016</w:t>
      </w:r>
      <w:r w:rsidR="00A17A01">
        <w:rPr>
          <w:lang w:val="fr-BE"/>
        </w:rPr>
        <w:t>. Ce sujet n’a pas été traité pour les bénéficiaires</w:t>
      </w:r>
      <w:r w:rsidR="00B34620">
        <w:rPr>
          <w:lang w:val="fr-BE"/>
        </w:rPr>
        <w:t xml:space="preserve"> </w:t>
      </w:r>
      <w:r w:rsidR="0094674F">
        <w:rPr>
          <w:lang w:val="fr-BE"/>
        </w:rPr>
        <w:t xml:space="preserve">du RSA et ceux qui </w:t>
      </w:r>
      <w:r w:rsidR="00B1180F">
        <w:rPr>
          <w:lang w:val="fr-BE"/>
        </w:rPr>
        <w:t>perço</w:t>
      </w:r>
      <w:r w:rsidR="00B1180F">
        <w:rPr>
          <w:lang w:val="fr-BE"/>
        </w:rPr>
        <w:t>i</w:t>
      </w:r>
      <w:r w:rsidR="00B1180F">
        <w:rPr>
          <w:lang w:val="fr-BE"/>
        </w:rPr>
        <w:t>vent</w:t>
      </w:r>
      <w:r w:rsidR="0094674F">
        <w:rPr>
          <w:lang w:val="fr-BE"/>
        </w:rPr>
        <w:t xml:space="preserve"> </w:t>
      </w:r>
      <w:r w:rsidR="00B34620">
        <w:rPr>
          <w:lang w:val="fr-BE"/>
        </w:rPr>
        <w:t>l’AAH</w:t>
      </w:r>
      <w:r w:rsidR="00E4101C">
        <w:rPr>
          <w:lang w:val="fr-BE"/>
        </w:rPr>
        <w:t>.</w:t>
      </w:r>
    </w:p>
    <w:p w14:paraId="51BEDF9C" w14:textId="77777777" w:rsidR="00CD244C" w:rsidRPr="00CD244C" w:rsidRDefault="00CD244C" w:rsidP="00181084">
      <w:pPr>
        <w:pStyle w:val="CorpsdetexteCentre"/>
        <w:ind w:firstLine="284"/>
        <w:jc w:val="both"/>
      </w:pPr>
      <w:r w:rsidRPr="00CD244C">
        <w:t>Le renouvellement automatique du droit à la CMU-C pour les bénéficiaires du RSA serait une mesure de simpl</w:t>
      </w:r>
      <w:r w:rsidRPr="00CD244C">
        <w:t>i</w:t>
      </w:r>
      <w:r w:rsidRPr="00CD244C">
        <w:t>fication forte, qui s’inscrirait dans la démarche globale de simplification déjà engagée depuis plusieurs années, dans la continuité du renouvellement automatique pour les tit</w:t>
      </w:r>
      <w:r>
        <w:t xml:space="preserve">ulaires du minimum vieillesse. </w:t>
      </w:r>
    </w:p>
    <w:p w14:paraId="22954B60" w14:textId="0F33E3CD" w:rsidR="00CD244C" w:rsidRPr="00CD244C" w:rsidRDefault="00CD244C" w:rsidP="00181084">
      <w:pPr>
        <w:pStyle w:val="CorpsdetexteCentre"/>
        <w:ind w:firstLine="284"/>
        <w:jc w:val="both"/>
      </w:pPr>
      <w:r w:rsidRPr="00CD244C">
        <w:t xml:space="preserve">Elle aurait de plus un coût faible, au maximum de </w:t>
      </w:r>
      <w:r w:rsidR="00323DD5">
        <w:t xml:space="preserve">l’ordre de </w:t>
      </w:r>
      <w:r w:rsidRPr="00CD244C">
        <w:t>1</w:t>
      </w:r>
      <w:r w:rsidR="00323DD5">
        <w:t>5</w:t>
      </w:r>
      <w:r w:rsidRPr="00CD244C">
        <w:t xml:space="preserve"> </w:t>
      </w:r>
      <w:r w:rsidR="009C3ADC">
        <w:t>millions d’euros</w:t>
      </w:r>
      <w:r w:rsidRPr="00CD244C">
        <w:rPr>
          <w:vertAlign w:val="superscript"/>
        </w:rPr>
        <w:footnoteReference w:id="19"/>
      </w:r>
      <w:r w:rsidRPr="00CD244C">
        <w:t xml:space="preserve"> si la totalité des personnes concernées consommait des soins au même niveau que la consommation moyenne des bénéficiaires actuels de la CMU</w:t>
      </w:r>
      <w:r w:rsidRPr="00CD244C">
        <w:noBreakHyphen/>
        <w:t xml:space="preserve">C. Ce coût ne tient pas compte des gisements d’économies de court terme </w:t>
      </w:r>
      <w:r w:rsidR="00D41E74">
        <w:t>(en gestion pour l’</w:t>
      </w:r>
      <w:r w:rsidR="00027A58">
        <w:t>a</w:t>
      </w:r>
      <w:r w:rsidR="00D41E74">
        <w:t>ssurance m</w:t>
      </w:r>
      <w:r w:rsidR="00D41E74">
        <w:t>a</w:t>
      </w:r>
      <w:r w:rsidR="00D41E74">
        <w:t xml:space="preserve">ladie) </w:t>
      </w:r>
      <w:r w:rsidRPr="00CD244C">
        <w:t xml:space="preserve">et de moyen-long terme </w:t>
      </w:r>
      <w:r w:rsidR="00D41E74">
        <w:t xml:space="preserve">(sur les dépenses de santé) </w:t>
      </w:r>
      <w:r w:rsidRPr="00CD244C">
        <w:t xml:space="preserve">induites par une telle mesure. </w:t>
      </w:r>
    </w:p>
    <w:p w14:paraId="54796456" w14:textId="6F2FBE90" w:rsidR="00CD244C" w:rsidRDefault="00D41E74" w:rsidP="00E4101C">
      <w:pPr>
        <w:pStyle w:val="CorpsdetexteCentre"/>
        <w:jc w:val="both"/>
      </w:pPr>
      <w:r>
        <w:lastRenderedPageBreak/>
        <w:t>De même</w:t>
      </w:r>
      <w:r w:rsidR="00CD244C" w:rsidRPr="00CD244C">
        <w:t>, aucun dispositif particulier n’est prévu pour les bénéficiaires de l’AAH, alors même que leur situation évolue peu. En effet, d’après la DREES</w:t>
      </w:r>
      <w:r w:rsidR="00CD244C" w:rsidRPr="00CD244C">
        <w:rPr>
          <w:vertAlign w:val="superscript"/>
        </w:rPr>
        <w:footnoteReference w:id="20"/>
      </w:r>
      <w:r w:rsidR="00CD244C" w:rsidRPr="00CD244C">
        <w:t xml:space="preserve">, du fait de leurs difficultés d’insertion, le turn-over annuel des allocataires de l’AAH est particulièrement faible : </w:t>
      </w:r>
      <w:r w:rsidR="008A4C1C" w:rsidRPr="00CD244C">
        <w:t>en 2014</w:t>
      </w:r>
      <w:r w:rsidR="008A4C1C">
        <w:t xml:space="preserve">, </w:t>
      </w:r>
      <w:r w:rsidR="00CD244C" w:rsidRPr="00CD244C">
        <w:t>moins de 6% pour ceux ayant un taux d’incapacité reconnu de 80% ou plus et moins de 13% pour les allocataires ayant un taux d’incapacité re</w:t>
      </w:r>
      <w:r w:rsidR="00CD244C">
        <w:t>connu entre 50% et 79%.</w:t>
      </w:r>
    </w:p>
    <w:p w14:paraId="605ED2F9" w14:textId="77777777" w:rsidR="00311FB4" w:rsidRPr="004674F9" w:rsidRDefault="00311FB4" w:rsidP="00311FB4">
      <w:pPr>
        <w:pStyle w:val="Corpsdetexte"/>
        <w:rPr>
          <w:lang w:eastAsia="fr-FR"/>
        </w:rPr>
      </w:pPr>
    </w:p>
    <w:p w14:paraId="30D07964" w14:textId="77777777" w:rsidR="00311FB4" w:rsidRPr="004674F9" w:rsidRDefault="00311FB4" w:rsidP="00311FB4">
      <w:pPr>
        <w:pStyle w:val="EncadreCorpsdeTexte"/>
      </w:pPr>
      <w:r>
        <w:t>Proposition n°2 - Rendre</w:t>
      </w:r>
      <w:r w:rsidRPr="004674F9">
        <w:t xml:space="preserve"> automatique l</w:t>
      </w:r>
      <w:r>
        <w:t>’attribution et le renouvellement d</w:t>
      </w:r>
      <w:r w:rsidRPr="004674F9">
        <w:t>es droits à la CMU-C aux bénéf</w:t>
      </w:r>
      <w:r w:rsidRPr="004674F9">
        <w:t>i</w:t>
      </w:r>
      <w:r w:rsidRPr="004674F9">
        <w:t>ciaires du RSA socle, pour des bénéficiaires qui sont de fait dans le champ</w:t>
      </w:r>
      <w:r>
        <w:t xml:space="preserve"> de la loi CMU de juillet 1999.</w:t>
      </w:r>
    </w:p>
    <w:p w14:paraId="68675CC5" w14:textId="77777777" w:rsidR="00311FB4" w:rsidRPr="0007516A" w:rsidRDefault="00311FB4" w:rsidP="00181084">
      <w:pPr>
        <w:pStyle w:val="Corpsdetexte"/>
      </w:pPr>
    </w:p>
    <w:p w14:paraId="500B1580" w14:textId="35A86CFB" w:rsidR="00CD244C" w:rsidRDefault="00CD244C" w:rsidP="00CD244C">
      <w:pPr>
        <w:pStyle w:val="EncadreCorpsdeTexte"/>
      </w:pPr>
      <w:r w:rsidRPr="00CD244C">
        <w:t>Proposition n°</w:t>
      </w:r>
      <w:r w:rsidR="00E4101C">
        <w:t>3</w:t>
      </w:r>
      <w:r w:rsidRPr="00CD244C">
        <w:t xml:space="preserve"> - Une mesure de simplification forte</w:t>
      </w:r>
      <w:r w:rsidR="00E4101C">
        <w:t>,</w:t>
      </w:r>
      <w:r w:rsidRPr="00CD244C">
        <w:t xml:space="preserve"> favorable aux personnes cumulant handicap et préc</w:t>
      </w:r>
      <w:r w:rsidRPr="00CD244C">
        <w:t>a</w:t>
      </w:r>
      <w:r w:rsidRPr="00CD244C">
        <w:t>rité</w:t>
      </w:r>
      <w:r w:rsidR="00E4101C">
        <w:t>,</w:t>
      </w:r>
      <w:r w:rsidRPr="00CD244C">
        <w:t xml:space="preserve"> consisterait en un renouvellement automatique de l’ACS pour les allocataires ayant l’AAH comme unique ressource.</w:t>
      </w:r>
    </w:p>
    <w:p w14:paraId="06621155" w14:textId="77777777" w:rsidR="002860F9" w:rsidRDefault="002860F9" w:rsidP="00181084">
      <w:pPr>
        <w:pStyle w:val="CorpsdetexteCentre"/>
        <w:jc w:val="both"/>
      </w:pPr>
    </w:p>
    <w:p w14:paraId="3B8E0BC5" w14:textId="6BB8EB21" w:rsidR="002860F9" w:rsidRPr="00A74890" w:rsidRDefault="002860F9" w:rsidP="00181084">
      <w:pPr>
        <w:pStyle w:val="Corpsdetexte"/>
      </w:pPr>
      <w:r>
        <w:t xml:space="preserve">Outre les difficultés d’accès au droit à une couverture santé, des situations de ruptures de droit ont été identifiées par la mission. </w:t>
      </w:r>
    </w:p>
    <w:p w14:paraId="5444BCAB" w14:textId="77777777" w:rsidR="00CD244C" w:rsidRPr="00CD244C" w:rsidRDefault="00CD244C" w:rsidP="00CD244C">
      <w:pPr>
        <w:pStyle w:val="Titre5"/>
        <w:rPr>
          <w:lang w:val="fr-BE"/>
        </w:rPr>
      </w:pPr>
      <w:bookmarkStart w:id="298" w:name="_Toc517111550"/>
      <w:r w:rsidRPr="00CD244C">
        <w:rPr>
          <w:lang w:val="fr-BE"/>
        </w:rPr>
        <w:t>Assurer le maintien des droits des bénéficiaires de l’AAH en cas d’hospitalisation longue</w:t>
      </w:r>
      <w:bookmarkEnd w:id="298"/>
    </w:p>
    <w:p w14:paraId="4A0D5B00" w14:textId="0822077A" w:rsidR="00B34620" w:rsidRPr="00CD244C" w:rsidRDefault="00B34620" w:rsidP="00181084">
      <w:pPr>
        <w:pStyle w:val="CorpsdetexteCentre"/>
        <w:ind w:firstLine="284"/>
        <w:jc w:val="left"/>
      </w:pPr>
      <w:r w:rsidRPr="00CD244C">
        <w:t>Nous appuyons une proposition qui fait partie des 113 propositions pour améliorer le quotidien des personnes en situation de handicap remises par Adrien Taquet et Jean-François Serr</w:t>
      </w:r>
      <w:r>
        <w:t>es au Gouvernement en mai 2018.</w:t>
      </w:r>
    </w:p>
    <w:p w14:paraId="7D68FAE5" w14:textId="7F6E5EA8" w:rsidR="00B34620" w:rsidRPr="00CD244C" w:rsidRDefault="00B34620" w:rsidP="000A452E">
      <w:pPr>
        <w:pStyle w:val="CorpsdetexteCentre"/>
        <w:jc w:val="both"/>
      </w:pPr>
      <w:r w:rsidRPr="00CD244C">
        <w:t>Les personnes en situation</w:t>
      </w:r>
      <w:r w:rsidR="008A4C1C">
        <w:t xml:space="preserve"> de</w:t>
      </w:r>
      <w:r w:rsidRPr="00CD244C">
        <w:t xml:space="preserve"> handicap bénéficiaires de l’AAH perdent 70% de leur AAH en cas d’hospitalisation longue de plus 60 jours, sauf s’ils acquittent le forfait journalier hospitalier, s’ils ont au moins un enfant à charge ou si leur conjoint ne travaille pas pour un motif reconnu par la </w:t>
      </w:r>
      <w:r w:rsidR="00C85579">
        <w:t>c</w:t>
      </w:r>
      <w:r w:rsidR="008A4C1C" w:rsidRPr="008A4C1C">
        <w:t>ommission des droits et de l'autonomie des pe</w:t>
      </w:r>
      <w:r w:rsidR="008A4C1C" w:rsidRPr="008A4C1C">
        <w:t>r</w:t>
      </w:r>
      <w:r w:rsidR="008A4C1C" w:rsidRPr="008A4C1C">
        <w:t>sonnes handicapées</w:t>
      </w:r>
      <w:r w:rsidRPr="00CD244C">
        <w:t xml:space="preserve">. Ils ne perçoivent ainsi plus </w:t>
      </w:r>
      <w:r w:rsidR="00384ADE">
        <w:t>que</w:t>
      </w:r>
      <w:r w:rsidR="00384ADE" w:rsidRPr="00CD244C">
        <w:t xml:space="preserve"> </w:t>
      </w:r>
      <w:r w:rsidRPr="00CD244C">
        <w:t>245€ par mois</w:t>
      </w:r>
      <w:r w:rsidRPr="00CD244C">
        <w:rPr>
          <w:vertAlign w:val="superscript"/>
        </w:rPr>
        <w:footnoteReference w:id="21"/>
      </w:r>
      <w:r w:rsidRPr="00CD244C">
        <w:t xml:space="preserve">. Si le droit à une AAH à 100% est rétabli à l’issue de l’hospitalisation, sa réduction durant le temps d’hospitalisation peut avoir des conséquences financières importantes ne permettant pas au bénéficiaire de maintenir le paiement de ses charges durant l’hospitalisation (charges locatives, rémunération des aidants). </w:t>
      </w:r>
    </w:p>
    <w:p w14:paraId="6C06DEE9" w14:textId="77777777" w:rsidR="00CD244C" w:rsidRPr="00CD244C" w:rsidRDefault="00CD244C" w:rsidP="00CD244C">
      <w:pPr>
        <w:pStyle w:val="CorpsdetexteCentre"/>
        <w:jc w:val="left"/>
      </w:pPr>
    </w:p>
    <w:p w14:paraId="5EA274F9" w14:textId="19699A39" w:rsidR="00CD244C" w:rsidRDefault="00CD244C" w:rsidP="000A4B5A">
      <w:pPr>
        <w:pStyle w:val="EncadreCorpsdeTexte"/>
      </w:pPr>
      <w:r w:rsidRPr="00CD244C">
        <w:t>Proposition n°</w:t>
      </w:r>
      <w:r w:rsidR="00E4101C">
        <w:t>4</w:t>
      </w:r>
      <w:r w:rsidRPr="00CD244C">
        <w:t xml:space="preserve"> - La mission recommande de maintenir les droits des bénéficiaires de l’AAH en cas d’hospitalisation longue. </w:t>
      </w:r>
    </w:p>
    <w:p w14:paraId="0AABB1A0" w14:textId="24D513F4" w:rsidR="00015F2A" w:rsidRDefault="00015F2A"/>
    <w:p w14:paraId="3C82975F" w14:textId="002838FF" w:rsidR="005664F0" w:rsidRPr="00CD244C" w:rsidRDefault="005664F0" w:rsidP="005664F0">
      <w:pPr>
        <w:pStyle w:val="Titre5"/>
        <w:rPr>
          <w:lang w:val="fr-BE"/>
        </w:rPr>
      </w:pPr>
      <w:r>
        <w:rPr>
          <w:lang w:val="fr-BE"/>
        </w:rPr>
        <w:t>Éviter les ruptures de droit lors des renouvellements de l’ACS</w:t>
      </w:r>
    </w:p>
    <w:p w14:paraId="24DD5817" w14:textId="10E95D5B" w:rsidR="005664F0" w:rsidRDefault="005664F0" w:rsidP="00181084">
      <w:pPr>
        <w:ind w:firstLine="284"/>
        <w:jc w:val="both"/>
      </w:pPr>
      <w:r>
        <w:t>En raison des délais de traitement par l’assurance maladie</w:t>
      </w:r>
      <w:r w:rsidR="0030514F">
        <w:t xml:space="preserve"> obligatoire</w:t>
      </w:r>
      <w:r>
        <w:t xml:space="preserve"> des demandes de renouvellement de l’ACS ou des retards pris par les assurés pour effectuer le</w:t>
      </w:r>
      <w:r w:rsidR="009D37C3">
        <w:t>ur</w:t>
      </w:r>
      <w:r>
        <w:t>s démarches, il est fréquent que la date de renouvell</w:t>
      </w:r>
      <w:r>
        <w:t>e</w:t>
      </w:r>
      <w:r>
        <w:t xml:space="preserve">ment de l’ACS soit légèrement postérieure à la date de fin du contrat précédent, obligeant les organismes complémentaires à faire souscrire un contrat de sortie de quelques jours aux assurés concernés </w:t>
      </w:r>
      <w:r w:rsidR="00B92846">
        <w:t>afin d’</w:t>
      </w:r>
      <w:r>
        <w:t xml:space="preserve">éviter des interruptions de couverture. </w:t>
      </w:r>
    </w:p>
    <w:p w14:paraId="5AFF3264" w14:textId="77777777" w:rsidR="005664F0" w:rsidRDefault="005664F0" w:rsidP="005664F0"/>
    <w:p w14:paraId="011A9193" w14:textId="48323D0E" w:rsidR="009D37C3" w:rsidRDefault="009D37C3" w:rsidP="009D37C3">
      <w:pPr>
        <w:pStyle w:val="EncadreCorpsdeTexte"/>
      </w:pPr>
      <w:r w:rsidRPr="00CD244C">
        <w:lastRenderedPageBreak/>
        <w:t>Proposition n°</w:t>
      </w:r>
      <w:r>
        <w:t>5</w:t>
      </w:r>
      <w:r w:rsidRPr="00CD244C">
        <w:t xml:space="preserve"> </w:t>
      </w:r>
      <w:r>
        <w:t>–</w:t>
      </w:r>
      <w:r w:rsidRPr="00CD244C">
        <w:t xml:space="preserve"> </w:t>
      </w:r>
      <w:r w:rsidR="008A4C1C">
        <w:t>P</w:t>
      </w:r>
      <w:r w:rsidR="007C4637">
        <w:t xml:space="preserve">our les contrats ACS, </w:t>
      </w:r>
      <w:r w:rsidR="00BE02EB">
        <w:t>autoriser la fixation rétroactive de dates d’ouverture des contrats</w:t>
      </w:r>
      <w:r w:rsidR="007C4637">
        <w:t xml:space="preserve"> </w:t>
      </w:r>
      <w:r w:rsidR="00BE02EB">
        <w:t>immédiatement consécutives à l’échéance des contrats précédents.</w:t>
      </w:r>
    </w:p>
    <w:p w14:paraId="5DC67EF7" w14:textId="414FFCC1" w:rsidR="001D5DB2" w:rsidRPr="001D5DB2" w:rsidRDefault="001D5DB2" w:rsidP="00181084">
      <w:pPr>
        <w:pStyle w:val="Titre4"/>
      </w:pPr>
      <w:bookmarkStart w:id="299" w:name="_Toc518233912"/>
      <w:bookmarkStart w:id="300" w:name="_Toc518234061"/>
      <w:bookmarkStart w:id="301" w:name="_Toc518234121"/>
      <w:bookmarkStart w:id="302" w:name="_Toc518234183"/>
      <w:bookmarkStart w:id="303" w:name="_Toc518234243"/>
      <w:bookmarkStart w:id="304" w:name="_Toc518234315"/>
      <w:bookmarkStart w:id="305" w:name="_Toc518234375"/>
      <w:bookmarkStart w:id="306" w:name="_Toc518234435"/>
      <w:bookmarkStart w:id="307" w:name="_Toc518234496"/>
      <w:bookmarkStart w:id="308" w:name="_Toc518234599"/>
      <w:bookmarkStart w:id="309" w:name="_Toc518234660"/>
      <w:bookmarkStart w:id="310" w:name="_Toc518234721"/>
      <w:bookmarkStart w:id="311" w:name="_Toc518292784"/>
      <w:bookmarkStart w:id="312" w:name="_Toc518750557"/>
      <w:bookmarkStart w:id="313" w:name="_Toc523327680"/>
      <w:bookmarkEnd w:id="299"/>
      <w:bookmarkEnd w:id="300"/>
      <w:bookmarkEnd w:id="301"/>
      <w:bookmarkEnd w:id="302"/>
      <w:bookmarkEnd w:id="303"/>
      <w:bookmarkEnd w:id="304"/>
      <w:bookmarkEnd w:id="305"/>
      <w:bookmarkEnd w:id="306"/>
      <w:bookmarkEnd w:id="307"/>
      <w:bookmarkEnd w:id="308"/>
      <w:bookmarkEnd w:id="309"/>
      <w:bookmarkEnd w:id="310"/>
      <w:bookmarkEnd w:id="311"/>
      <w:r w:rsidRPr="001D5DB2">
        <w:t>Simplifier l’AME et harmoniser son instruction sur le territoire</w:t>
      </w:r>
      <w:bookmarkEnd w:id="312"/>
      <w:bookmarkEnd w:id="313"/>
    </w:p>
    <w:p w14:paraId="688A57BC" w14:textId="35AE45DE" w:rsidR="006926EB" w:rsidRPr="001D5DB2" w:rsidRDefault="006926EB" w:rsidP="00181084">
      <w:pPr>
        <w:pStyle w:val="CorpsdetexteCentre"/>
        <w:ind w:firstLine="284"/>
        <w:jc w:val="both"/>
      </w:pPr>
      <w:r w:rsidRPr="001D5DB2">
        <w:t>L'AME</w:t>
      </w:r>
      <w:r>
        <w:t xml:space="preserve"> </w:t>
      </w:r>
      <w:r w:rsidRPr="001D5DB2">
        <w:t>vise à assurer une couverture du risque maladie aux personnes étrangères en situation irrégulière dans un triple objectif humanitaire, sanitaire et économique : elle protège les personnes concernées en leur permettant l’accès aux soins pr</w:t>
      </w:r>
      <w:r w:rsidR="000A12DE">
        <w:t>éventifs et curatifs. E</w:t>
      </w:r>
      <w:r w:rsidRPr="001D5DB2">
        <w:t>lle joue un rôle important en matière de santé publique, en évitant que des affections contagieuses non soignées ne s’étendent dans la population. Enfin, elle permet de maîtriser les d</w:t>
      </w:r>
      <w:r w:rsidRPr="001D5DB2">
        <w:t>é</w:t>
      </w:r>
      <w:r w:rsidRPr="001D5DB2">
        <w:t>penses publiques en évitant les surcoûts liés à des soins retardés et pratiqués dans l’urgence</w:t>
      </w:r>
      <w:r w:rsidR="000A12DE">
        <w:t xml:space="preserve"> le plus souvent à l’</w:t>
      </w:r>
      <w:r w:rsidR="00A91DEF">
        <w:t>hôpital</w:t>
      </w:r>
      <w:r w:rsidRPr="001D5DB2">
        <w:t>.</w:t>
      </w:r>
    </w:p>
    <w:p w14:paraId="1E54AFF9" w14:textId="4FBAB1BD" w:rsidR="006926EB" w:rsidRPr="001D5DB2" w:rsidRDefault="007A38D5" w:rsidP="006926EB">
      <w:pPr>
        <w:pStyle w:val="CorpsdetexteCentre"/>
        <w:jc w:val="left"/>
      </w:pPr>
      <w:r>
        <w:t>La prise en charge des personnes en situation irrégulière recouvre en réalité</w:t>
      </w:r>
      <w:r w:rsidR="006926EB" w:rsidRPr="001D5DB2">
        <w:t xml:space="preserve"> deux dispositifs </w:t>
      </w:r>
      <w:r w:rsidR="006926EB" w:rsidRPr="00BF0FE0">
        <w:t xml:space="preserve">distincts </w:t>
      </w:r>
      <w:r w:rsidR="006926EB" w:rsidRPr="000A452E">
        <w:t>(</w:t>
      </w:r>
      <w:r w:rsidR="006926EB" w:rsidRPr="00C85579">
        <w:rPr>
          <w:i/>
        </w:rPr>
        <w:t>cf.</w:t>
      </w:r>
      <w:r w:rsidR="006926EB" w:rsidRPr="000A452E">
        <w:t xml:space="preserve"> annexe </w:t>
      </w:r>
      <w:r w:rsidR="006926EB">
        <w:t>7</w:t>
      </w:r>
      <w:r w:rsidR="006926EB" w:rsidRPr="000A452E">
        <w:t>) :</w:t>
      </w:r>
      <w:r w:rsidR="006926EB" w:rsidRPr="001D5DB2">
        <w:t xml:space="preserve"> </w:t>
      </w:r>
    </w:p>
    <w:p w14:paraId="31EFB3C8" w14:textId="77777777" w:rsidR="006926EB" w:rsidRPr="001D5DB2" w:rsidRDefault="006926EB" w:rsidP="006926EB">
      <w:pPr>
        <w:pStyle w:val="Listecontinue"/>
      </w:pPr>
      <w:r w:rsidRPr="001D5DB2">
        <w:t xml:space="preserve">L’AME de droit commun couvre les dépenses de santé des personnes résidant en France depuis plus de 3 mois en situation de précarité (dont les ressources sont inférieures au plafond de la CMU-C). </w:t>
      </w:r>
    </w:p>
    <w:p w14:paraId="53D0CEB4" w14:textId="174F54F5" w:rsidR="006926EB" w:rsidRPr="001D5DB2" w:rsidRDefault="007A38D5" w:rsidP="006926EB">
      <w:pPr>
        <w:pStyle w:val="Listecontinue"/>
      </w:pPr>
      <w:r>
        <w:t xml:space="preserve">Les </w:t>
      </w:r>
      <w:r w:rsidR="006926EB" w:rsidRPr="001D5DB2">
        <w:t>« soins urgents »</w:t>
      </w:r>
      <w:r w:rsidR="006926EB" w:rsidRPr="001D5DB2">
        <w:rPr>
          <w:b/>
          <w:bCs/>
        </w:rPr>
        <w:t xml:space="preserve"> </w:t>
      </w:r>
      <w:r w:rsidR="006926EB" w:rsidRPr="001D5DB2">
        <w:t>concerne</w:t>
      </w:r>
      <w:r w:rsidR="008A4C1C">
        <w:t>nt</w:t>
      </w:r>
      <w:r w:rsidR="006926EB" w:rsidRPr="001D5DB2">
        <w:t xml:space="preserve"> les étrangers en situation irrégulière dont l’état de santé nécessite des soins urgents à l’hôpital et qui ne peuvent accéder à l’AME de droit commun</w:t>
      </w:r>
      <w:r w:rsidR="007E2B1A">
        <w:t>, notamment parce qu</w:t>
      </w:r>
      <w:r w:rsidR="008A4C1C">
        <w:t>’ils</w:t>
      </w:r>
      <w:r w:rsidR="006926EB" w:rsidRPr="001D5DB2">
        <w:t xml:space="preserve"> résid</w:t>
      </w:r>
      <w:r w:rsidR="008A4C1C">
        <w:t>e</w:t>
      </w:r>
      <w:r w:rsidR="006926EB" w:rsidRPr="001D5DB2">
        <w:t>nt en France depuis moins de 3 mois.</w:t>
      </w:r>
      <w:r w:rsidR="006926EB">
        <w:t xml:space="preserve">  </w:t>
      </w:r>
    </w:p>
    <w:p w14:paraId="2301B508" w14:textId="08627E62" w:rsidR="001D5DB2" w:rsidRPr="001D5DB2" w:rsidRDefault="001D5DB2" w:rsidP="00181084">
      <w:pPr>
        <w:pStyle w:val="CorpsdetexteCentre"/>
        <w:ind w:firstLine="284"/>
        <w:jc w:val="both"/>
      </w:pPr>
      <w:r w:rsidRPr="001D5DB2">
        <w:t>Tous les acteurs auditionnés lors de notre mission s’accordent sur le fait que la mise en œuvre du dispositif d’AME présente des dysfonctionnements, générant ainsi un non recours aux soins impo</w:t>
      </w:r>
      <w:r w:rsidRPr="001D5DB2">
        <w:t>r</w:t>
      </w:r>
      <w:r w:rsidRPr="001D5DB2">
        <w:t>tant pour les populations concernées. En 2016, les personnes accueillies dans les centres d’accueil de soins et d’orientation (</w:t>
      </w:r>
      <w:r w:rsidR="006E7698">
        <w:t>CASO</w:t>
      </w:r>
      <w:r w:rsidRPr="001D5DB2">
        <w:t>) de Méd</w:t>
      </w:r>
      <w:r w:rsidRPr="001D5DB2">
        <w:t>e</w:t>
      </w:r>
      <w:r w:rsidRPr="001D5DB2">
        <w:t xml:space="preserve">cins du </w:t>
      </w:r>
      <w:r w:rsidR="00DF3628">
        <w:t>M</w:t>
      </w:r>
      <w:r w:rsidRPr="001D5DB2">
        <w:t>onde</w:t>
      </w:r>
      <w:r w:rsidRPr="001D5DB2">
        <w:rPr>
          <w:vertAlign w:val="superscript"/>
        </w:rPr>
        <w:footnoteReference w:id="22"/>
      </w:r>
      <w:r w:rsidR="009F115D">
        <w:t xml:space="preserve">, dont 54 % </w:t>
      </w:r>
      <w:r w:rsidR="000A4F76">
        <w:t xml:space="preserve">étaient </w:t>
      </w:r>
      <w:r w:rsidR="009F115D">
        <w:t>en situation irrégulière au jour de leur première visite,</w:t>
      </w:r>
      <w:r w:rsidR="000A4F76">
        <w:t xml:space="preserve"> </w:t>
      </w:r>
      <w:r w:rsidRPr="001D5DB2">
        <w:t xml:space="preserve">présentaient un retard de recours aux soins important. Ce retard est signalé par les médecins dans près d’une consultation sur deux et 38% des cas nécessitent une prise en charge urgente ou assez urgente. </w:t>
      </w:r>
    </w:p>
    <w:p w14:paraId="138AAB95" w14:textId="459735AA" w:rsidR="001D5DB2" w:rsidRPr="001D5DB2" w:rsidRDefault="001D5DB2" w:rsidP="005D6055">
      <w:pPr>
        <w:pStyle w:val="CorpsdetexteCentre"/>
        <w:jc w:val="both"/>
      </w:pPr>
      <w:r w:rsidRPr="001D5DB2">
        <w:t xml:space="preserve">Par ailleurs, 8 personnes sur 10 ne bénéficiaient d’aucun droit à une couverture de santé lors de leur première visite au </w:t>
      </w:r>
      <w:r w:rsidR="006E7698">
        <w:t>CASO</w:t>
      </w:r>
      <w:r w:rsidR="006E7698" w:rsidRPr="001D5DB2">
        <w:t xml:space="preserve"> </w:t>
      </w:r>
      <w:r w:rsidRPr="001D5DB2">
        <w:t>alors qu’elles pouvaient théoriquement en bénéficier</w:t>
      </w:r>
      <w:r w:rsidR="005D6055">
        <w:t xml:space="preserve"> (dans le cadre de l’AME ou par un autre disp</w:t>
      </w:r>
      <w:r w:rsidR="005D6055">
        <w:t>o</w:t>
      </w:r>
      <w:r w:rsidR="005D6055">
        <w:t>sitif quand elles n’étaient pas en situation irrégulière)</w:t>
      </w:r>
      <w:r w:rsidRPr="001D5DB2">
        <w:t xml:space="preserve">.  </w:t>
      </w:r>
    </w:p>
    <w:p w14:paraId="449F857E" w14:textId="28513A05" w:rsidR="001D5DB2" w:rsidRPr="001D5DB2" w:rsidRDefault="001D5DB2" w:rsidP="00181084">
      <w:pPr>
        <w:pStyle w:val="CorpsdetexteCentre"/>
        <w:ind w:firstLine="284"/>
        <w:jc w:val="both"/>
      </w:pPr>
      <w:r w:rsidRPr="001D5DB2">
        <w:t>Obtenir l’AME de droit commun est complexe pour les personnes concernées. La cause principale est le manque de clarté et de communication sur les pièces à fournir. Il n’existe pas de document officiel définissant exactement les pièces acceptées et refusées (de type circulaire de l’administration)</w:t>
      </w:r>
      <w:r w:rsidR="00CB78CE">
        <w:t>,</w:t>
      </w:r>
      <w:r w:rsidRPr="001D5DB2">
        <w:t xml:space="preserve"> qui varient dans le temps et d’une caisse à l’autre. La mission a par exemple pu constater au cours de ses auditions sur le terrain, notamment dans le </w:t>
      </w:r>
      <w:r w:rsidR="006E7698">
        <w:t>CASO</w:t>
      </w:r>
      <w:r w:rsidR="006E7698" w:rsidRPr="001D5DB2">
        <w:t xml:space="preserve"> </w:t>
      </w:r>
      <w:r w:rsidRPr="001D5DB2">
        <w:t>de Seine</w:t>
      </w:r>
      <w:r w:rsidR="005D6055">
        <w:t>-</w:t>
      </w:r>
      <w:r w:rsidRPr="001D5DB2">
        <w:t>Saint</w:t>
      </w:r>
      <w:r w:rsidR="005D6055">
        <w:t>-</w:t>
      </w:r>
      <w:r w:rsidRPr="001D5DB2">
        <w:t>Denis, que certaines pièces jusque-là acceptées par l</w:t>
      </w:r>
      <w:r w:rsidR="000A12DE">
        <w:t>a</w:t>
      </w:r>
      <w:r w:rsidRPr="001D5DB2">
        <w:t xml:space="preserve"> CPAM pour évaluer la stabilité de résidence ne l’étaient plus, engendrant de l’incompréhension, des délais et des difficultés suppléme</w:t>
      </w:r>
      <w:r w:rsidRPr="001D5DB2">
        <w:t>n</w:t>
      </w:r>
      <w:r w:rsidRPr="001D5DB2">
        <w:t>taires pour l’ouverture des droits. Nous avons pu également constater des demandes abusives de pièces, par exemple une demande de la copie intégrale du passeport et d’une pièce d’identité alors qu’en droit</w:t>
      </w:r>
      <w:r w:rsidR="005D6055">
        <w:t>,</w:t>
      </w:r>
      <w:r w:rsidRPr="001D5DB2">
        <w:t xml:space="preserve"> l’une des deux pièces se</w:t>
      </w:r>
      <w:r w:rsidRPr="001D5DB2">
        <w:t>u</w:t>
      </w:r>
      <w:r w:rsidRPr="001D5DB2">
        <w:t xml:space="preserve">lement doit être fournie.  </w:t>
      </w:r>
    </w:p>
    <w:p w14:paraId="36D10977" w14:textId="4F8EC49C" w:rsidR="001D5DB2" w:rsidRPr="001D5DB2" w:rsidRDefault="001D5DB2" w:rsidP="001D5DB2">
      <w:pPr>
        <w:pStyle w:val="EncadreCorpsdeTexte"/>
      </w:pPr>
      <w:r w:rsidRPr="001D5DB2">
        <w:t>Proposition n°</w:t>
      </w:r>
      <w:r w:rsidR="00015D6A">
        <w:t>6</w:t>
      </w:r>
      <w:r w:rsidR="00E4101C" w:rsidRPr="001D5DB2">
        <w:t xml:space="preserve"> </w:t>
      </w:r>
      <w:r w:rsidRPr="001D5DB2">
        <w:t>- La mission propose de clarifier l’information sur les éléments de preuve et les pièces just</w:t>
      </w:r>
      <w:r w:rsidRPr="001D5DB2">
        <w:t>i</w:t>
      </w:r>
      <w:r w:rsidRPr="001D5DB2">
        <w:t xml:space="preserve">ficatives à fournir pour la régularité de séjour et la stabilité de résidence (sur le site Améli de la CNAM, auprès des CPAM </w:t>
      </w:r>
      <w:r w:rsidRPr="001D5DB2">
        <w:rPr>
          <w:i/>
        </w:rPr>
        <w:t>via</w:t>
      </w:r>
      <w:r w:rsidRPr="001D5DB2">
        <w:t xml:space="preserve"> une instruction précise sur les pièces acceptées et refusées, voire </w:t>
      </w:r>
      <w:r w:rsidRPr="00181084">
        <w:rPr>
          <w:i/>
        </w:rPr>
        <w:t>via</w:t>
      </w:r>
      <w:r w:rsidRPr="001D5DB2">
        <w:t xml:space="preserve"> un texte régl</w:t>
      </w:r>
      <w:r w:rsidRPr="001D5DB2">
        <w:t>e</w:t>
      </w:r>
      <w:r w:rsidRPr="001D5DB2">
        <w:t>mentaire)</w:t>
      </w:r>
      <w:r w:rsidR="005D6055">
        <w:t>.</w:t>
      </w:r>
    </w:p>
    <w:p w14:paraId="0C64FA24" w14:textId="77777777" w:rsidR="001D5DB2" w:rsidRPr="001D5DB2" w:rsidRDefault="001D5DB2" w:rsidP="001D5DB2">
      <w:pPr>
        <w:pStyle w:val="CorpsdetexteCentre"/>
        <w:jc w:val="left"/>
      </w:pPr>
    </w:p>
    <w:p w14:paraId="18DCFDBD" w14:textId="6DAF4809" w:rsidR="001D5DB2" w:rsidRPr="001D5DB2" w:rsidRDefault="001D5DB2" w:rsidP="001D5DB2">
      <w:pPr>
        <w:pStyle w:val="EncadreCorpsdeTexte"/>
      </w:pPr>
      <w:r w:rsidRPr="001D5DB2">
        <w:lastRenderedPageBreak/>
        <w:t>Proposition n°</w:t>
      </w:r>
      <w:r w:rsidR="00015D6A">
        <w:t>7</w:t>
      </w:r>
      <w:r w:rsidR="00E4101C" w:rsidRPr="001D5DB2">
        <w:t xml:space="preserve"> </w:t>
      </w:r>
      <w:r w:rsidRPr="001D5DB2">
        <w:t>- La mission propose également de sécuriser et d’harmoniser l’instruction du droit à l’</w:t>
      </w:r>
      <w:r w:rsidR="005D6055">
        <w:t xml:space="preserve">AME </w:t>
      </w:r>
      <w:r w:rsidRPr="001D5DB2">
        <w:t>sur le territoire par les caisses. Cette démarche doit pouvoir être mise en œuvre à la faveur de la centralis</w:t>
      </w:r>
      <w:r w:rsidRPr="001D5DB2">
        <w:t>a</w:t>
      </w:r>
      <w:r w:rsidRPr="001D5DB2">
        <w:t>tion de l’instruction des droits AME sur les 3 CPAM de Bobigny, Paris et Marseille dès 201</w:t>
      </w:r>
      <w:r w:rsidR="00AC4A4D">
        <w:t>9</w:t>
      </w:r>
      <w:r w:rsidRPr="001D5DB2">
        <w:t>. Un point de vigilance devra être maintenu concernant la formation et la sensibilisation des agents d’accueil physique.</w:t>
      </w:r>
    </w:p>
    <w:p w14:paraId="70FEFA26" w14:textId="77777777" w:rsidR="001D5DB2" w:rsidRPr="001D5DB2" w:rsidRDefault="001D5DB2" w:rsidP="001D5DB2">
      <w:pPr>
        <w:pStyle w:val="CorpsdetexteCentre"/>
        <w:jc w:val="left"/>
      </w:pPr>
    </w:p>
    <w:p w14:paraId="00CF7061" w14:textId="6B2F62D0" w:rsidR="001D5DB2" w:rsidRPr="001D5DB2" w:rsidRDefault="001D5DB2" w:rsidP="001D5DB2">
      <w:pPr>
        <w:pStyle w:val="EncadreCorpsdeTexte"/>
      </w:pPr>
      <w:r w:rsidRPr="001D5DB2">
        <w:t>Proposition n°</w:t>
      </w:r>
      <w:r w:rsidR="00015D6A">
        <w:t>8</w:t>
      </w:r>
      <w:r w:rsidR="00E4101C" w:rsidRPr="001D5DB2">
        <w:t xml:space="preserve"> </w:t>
      </w:r>
      <w:r w:rsidRPr="001D5DB2">
        <w:t>- Enfin, nous appuyons la recommandation de l’IGAS</w:t>
      </w:r>
      <w:r w:rsidRPr="001D5DB2">
        <w:rPr>
          <w:vertAlign w:val="superscript"/>
        </w:rPr>
        <w:footnoteReference w:id="23"/>
      </w:r>
      <w:r w:rsidRPr="001D5DB2">
        <w:t xml:space="preserve"> de mettre en place des modalités de coordination et d’échanges réguliers entre l’assurance maladie et les associations qui accompagnent les personnes en situation irrégulière.</w:t>
      </w:r>
      <w:r w:rsidR="003C1C37">
        <w:t xml:space="preserve"> Nous recommandons </w:t>
      </w:r>
      <w:r w:rsidR="00CD67B9">
        <w:t xml:space="preserve">ainsi </w:t>
      </w:r>
      <w:r w:rsidR="003C1C37">
        <w:t>de créer des comités de suivi entre l’assurance maladie et les associations.</w:t>
      </w:r>
    </w:p>
    <w:p w14:paraId="58A92CF6" w14:textId="77777777" w:rsidR="0015646A" w:rsidRPr="0015646A" w:rsidRDefault="0015646A" w:rsidP="0015646A">
      <w:pPr>
        <w:pStyle w:val="Titre3"/>
        <w:rPr>
          <w:lang w:eastAsia="fr-FR"/>
        </w:rPr>
      </w:pPr>
      <w:bookmarkStart w:id="314" w:name="_Toc518982113"/>
      <w:bookmarkStart w:id="315" w:name="_Toc518988103"/>
      <w:bookmarkStart w:id="316" w:name="_Toc519012593"/>
      <w:bookmarkStart w:id="317" w:name="_Toc519013355"/>
      <w:bookmarkStart w:id="318" w:name="_Toc519013443"/>
      <w:bookmarkStart w:id="319" w:name="_Toc519013531"/>
      <w:bookmarkStart w:id="320" w:name="_Toc519013619"/>
      <w:bookmarkStart w:id="321" w:name="_Toc519013707"/>
      <w:bookmarkStart w:id="322" w:name="_Toc519013936"/>
      <w:bookmarkStart w:id="323" w:name="_Toc519014440"/>
      <w:bookmarkStart w:id="324" w:name="_Toc519014942"/>
      <w:bookmarkStart w:id="325" w:name="_Toc519018177"/>
      <w:bookmarkStart w:id="326" w:name="_Toc519018318"/>
      <w:bookmarkStart w:id="327" w:name="_Toc518750558"/>
      <w:bookmarkStart w:id="328" w:name="_Toc523327681"/>
      <w:bookmarkEnd w:id="314"/>
      <w:bookmarkEnd w:id="315"/>
      <w:bookmarkEnd w:id="316"/>
      <w:bookmarkEnd w:id="317"/>
      <w:bookmarkEnd w:id="318"/>
      <w:bookmarkEnd w:id="319"/>
      <w:bookmarkEnd w:id="320"/>
      <w:bookmarkEnd w:id="321"/>
      <w:bookmarkEnd w:id="322"/>
      <w:bookmarkEnd w:id="323"/>
      <w:bookmarkEnd w:id="324"/>
      <w:bookmarkEnd w:id="325"/>
      <w:bookmarkEnd w:id="326"/>
      <w:r w:rsidRPr="0015646A">
        <w:rPr>
          <w:lang w:eastAsia="fr-FR"/>
        </w:rPr>
        <w:t>Rendre les soins financièrement accessibles</w:t>
      </w:r>
      <w:bookmarkEnd w:id="327"/>
      <w:bookmarkEnd w:id="328"/>
    </w:p>
    <w:p w14:paraId="6D2EBFE7" w14:textId="1F2FFC13" w:rsidR="0015646A" w:rsidRDefault="0015646A" w:rsidP="0015646A">
      <w:pPr>
        <w:pStyle w:val="Titre4"/>
      </w:pPr>
      <w:bookmarkStart w:id="329" w:name="_Toc517957816"/>
      <w:bookmarkStart w:id="330" w:name="_Toc518750559"/>
      <w:bookmarkStart w:id="331" w:name="_Toc523327682"/>
      <w:r w:rsidRPr="0015646A">
        <w:t>Réduire les restes à charges en santé des personnes en situation de handicap ou de précarité</w:t>
      </w:r>
      <w:bookmarkEnd w:id="329"/>
      <w:bookmarkEnd w:id="330"/>
      <w:bookmarkEnd w:id="331"/>
    </w:p>
    <w:p w14:paraId="0EE633A8" w14:textId="61781CFE" w:rsidR="007E11A1" w:rsidRDefault="007E11A1" w:rsidP="007E11A1">
      <w:pPr>
        <w:pStyle w:val="Titre5"/>
      </w:pPr>
      <w:r>
        <w:t>Augmenter le plafond d’éligibilité aux dispositifs d’aide à la complémentaire santé</w:t>
      </w:r>
    </w:p>
    <w:p w14:paraId="513FFB9E" w14:textId="786B734F" w:rsidR="00CF642B" w:rsidRPr="000A452E" w:rsidRDefault="00CF642B" w:rsidP="00181084">
      <w:pPr>
        <w:pStyle w:val="CorpsdetexteCentre"/>
        <w:ind w:firstLine="284"/>
        <w:jc w:val="both"/>
      </w:pPr>
      <w:r w:rsidRPr="000A452E">
        <w:t>Le plafond de ressources de l’aide à la complémentaire santé est fixé au niveau du plafond de la CMU compl</w:t>
      </w:r>
      <w:r w:rsidRPr="000A452E">
        <w:t>é</w:t>
      </w:r>
      <w:r w:rsidRPr="000A452E">
        <w:t>mentaire majoré de 35%</w:t>
      </w:r>
      <w:r w:rsidR="00CD67B9">
        <w:rPr>
          <w:rStyle w:val="Appelnotedebasdep"/>
        </w:rPr>
        <w:footnoteReference w:id="24"/>
      </w:r>
      <w:r w:rsidRPr="000A452E">
        <w:t xml:space="preserve">. </w:t>
      </w:r>
      <w:r w:rsidR="00131D82">
        <w:t>Ce système entraîne des effets de seuil importants entre les bénéficiaires de l’ACS et les personnes qui sont dans le droit commun des contrats de complémentaire santé. Cet effet est particulièrement important pour les personnes âgées dont les primes sont élevées et qui sont exclues des contrats collectifs oblig</w:t>
      </w:r>
      <w:r w:rsidR="00131D82">
        <w:t>a</w:t>
      </w:r>
      <w:r w:rsidR="00131D82">
        <w:t>toires réservés aux salariés.</w:t>
      </w:r>
    </w:p>
    <w:p w14:paraId="1EA4AB9A" w14:textId="4D338912" w:rsidR="00CF642B" w:rsidRDefault="00CF642B" w:rsidP="00181084">
      <w:pPr>
        <w:pStyle w:val="CorpsdetexteCentre"/>
        <w:ind w:firstLine="284"/>
        <w:jc w:val="both"/>
      </w:pPr>
      <w:r w:rsidRPr="000A452E">
        <w:t>A</w:t>
      </w:r>
      <w:r w:rsidR="00131D82">
        <w:t xml:space="preserve">u regard du risque de renchérissement des primes suite à la mise en place du </w:t>
      </w:r>
      <w:r w:rsidR="00350B7D">
        <w:t>« </w:t>
      </w:r>
      <w:r w:rsidR="00131D82">
        <w:t xml:space="preserve">100% </w:t>
      </w:r>
      <w:r w:rsidR="00D65432">
        <w:t>S</w:t>
      </w:r>
      <w:r w:rsidR="00131D82">
        <w:t>anté</w:t>
      </w:r>
      <w:r w:rsidR="00350B7D">
        <w:t> »</w:t>
      </w:r>
      <w:r w:rsidR="00131D82">
        <w:t>, il est vraise</w:t>
      </w:r>
      <w:r w:rsidR="00131D82">
        <w:t>m</w:t>
      </w:r>
      <w:r w:rsidR="00131D82">
        <w:t>blable que cet effet de seuil sera encore plus important. A</w:t>
      </w:r>
      <w:r w:rsidRPr="000A452E">
        <w:t>fin de poursuivre la politique visant à faciliter l’accès des personnes les plus modestes à la couverture complémentaire d’assurance maladie</w:t>
      </w:r>
      <w:r w:rsidR="00131D82">
        <w:t xml:space="preserve">, la mission recommande d’augmenter le plafond d’éligibilité </w:t>
      </w:r>
      <w:r w:rsidR="00015F2A">
        <w:t>de</w:t>
      </w:r>
      <w:r w:rsidR="00131D82">
        <w:t xml:space="preserve"> l’ACS au niveau du plafond CMU-C majoré de 45%.</w:t>
      </w:r>
    </w:p>
    <w:p w14:paraId="2547DE04" w14:textId="3222C27D" w:rsidR="00131D82" w:rsidRPr="001D5DB2" w:rsidRDefault="00131D82" w:rsidP="00131D82">
      <w:pPr>
        <w:pStyle w:val="EncadreCorpsdeTexte"/>
      </w:pPr>
      <w:r w:rsidRPr="001D5DB2">
        <w:t>Proposition n°</w:t>
      </w:r>
      <w:r>
        <w:t>9</w:t>
      </w:r>
      <w:r w:rsidRPr="001D5DB2">
        <w:t xml:space="preserve"> </w:t>
      </w:r>
      <w:r>
        <w:t>–</w:t>
      </w:r>
      <w:r w:rsidRPr="001D5DB2">
        <w:t xml:space="preserve"> </w:t>
      </w:r>
      <w:r>
        <w:t>Fixer le seuil d’éligibilité de l’ACS au niveau du plafond CMU-C majoré de 45%</w:t>
      </w:r>
      <w:r w:rsidR="005D6055">
        <w:t>.</w:t>
      </w:r>
    </w:p>
    <w:p w14:paraId="0722ECDC" w14:textId="6E13ED1C" w:rsidR="00131D82" w:rsidRPr="000A452E" w:rsidRDefault="00131D82" w:rsidP="000A452E">
      <w:pPr>
        <w:pStyle w:val="Corpsdetexte"/>
      </w:pPr>
    </w:p>
    <w:p w14:paraId="3585040B" w14:textId="77777777" w:rsidR="0015646A" w:rsidRPr="0015646A" w:rsidRDefault="0015646A" w:rsidP="0015646A">
      <w:pPr>
        <w:pStyle w:val="Titre5"/>
      </w:pPr>
      <w:r w:rsidRPr="0015646A">
        <w:t>Améliorer la prise en charge des soins pour les personnes en situation de handicap</w:t>
      </w:r>
    </w:p>
    <w:p w14:paraId="4AF8EF0A" w14:textId="4D1E5C9E" w:rsidR="0015646A" w:rsidRPr="0015646A" w:rsidRDefault="0015646A" w:rsidP="00550CA1">
      <w:pPr>
        <w:pStyle w:val="Titre7"/>
      </w:pPr>
      <w:r w:rsidRPr="0015646A">
        <w:t>Permettre à tou</w:t>
      </w:r>
      <w:r w:rsidR="005D6055">
        <w:t>te</w:t>
      </w:r>
      <w:r w:rsidRPr="0015646A">
        <w:t>s les personnes titulaires de l’AAH de bénéficier d’une prise en charge des soins à 100% par l’assurance maladie obligatoire (exonération du ticket modérateur)</w:t>
      </w:r>
    </w:p>
    <w:p w14:paraId="086084E6" w14:textId="3D391BD4" w:rsidR="0015646A" w:rsidRPr="0015646A" w:rsidRDefault="0015646A" w:rsidP="00181084">
      <w:pPr>
        <w:pStyle w:val="Corpsdetexte"/>
        <w:ind w:firstLine="284"/>
        <w:rPr>
          <w:lang w:eastAsia="fr-FR"/>
        </w:rPr>
      </w:pPr>
      <w:r w:rsidRPr="0015646A">
        <w:rPr>
          <w:lang w:eastAsia="fr-FR"/>
        </w:rPr>
        <w:t>Les personnes en situation d’invalidité bénéficient d’une exonération du ticket modérateur. Leurs soins sont pris en charge à 100% par l’assurance maladie obligatoire</w:t>
      </w:r>
      <w:r w:rsidR="00F16CA1">
        <w:rPr>
          <w:lang w:eastAsia="fr-FR"/>
        </w:rPr>
        <w:t xml:space="preserve"> dans la limite des tarifs de responsabilité</w:t>
      </w:r>
      <w:r w:rsidR="00F16CA1">
        <w:rPr>
          <w:rStyle w:val="Appelnotedebasdep"/>
          <w:lang w:eastAsia="fr-FR"/>
        </w:rPr>
        <w:footnoteReference w:id="25"/>
      </w:r>
      <w:r w:rsidRPr="0015646A">
        <w:rPr>
          <w:lang w:eastAsia="fr-FR"/>
        </w:rPr>
        <w:t>. Cela const</w:t>
      </w:r>
      <w:r w:rsidRPr="0015646A">
        <w:rPr>
          <w:lang w:eastAsia="fr-FR"/>
        </w:rPr>
        <w:t>i</w:t>
      </w:r>
      <w:r w:rsidRPr="0015646A">
        <w:rPr>
          <w:lang w:eastAsia="fr-FR"/>
        </w:rPr>
        <w:t>tue un avantage par rapport aux bénéficiaires de l’AAH qui ne bénéficient pas de la prise en charge à 100% de leurs soins</w:t>
      </w:r>
      <w:r w:rsidR="0030514F">
        <w:rPr>
          <w:lang w:eastAsia="fr-FR"/>
        </w:rPr>
        <w:t xml:space="preserve"> (sauf s’ils sont également en situation d’invalidité)</w:t>
      </w:r>
      <w:r w:rsidRPr="0015646A">
        <w:rPr>
          <w:lang w:eastAsia="fr-FR"/>
        </w:rPr>
        <w:t xml:space="preserve">. Une partie des bénéficiaires de l’AAH peut </w:t>
      </w:r>
      <w:r w:rsidR="007963C8">
        <w:rPr>
          <w:lang w:eastAsia="fr-FR"/>
        </w:rPr>
        <w:t>également</w:t>
      </w:r>
      <w:r w:rsidR="007963C8" w:rsidRPr="0015646A">
        <w:rPr>
          <w:lang w:eastAsia="fr-FR"/>
        </w:rPr>
        <w:t xml:space="preserve"> </w:t>
      </w:r>
      <w:r w:rsidRPr="0015646A">
        <w:rPr>
          <w:lang w:eastAsia="fr-FR"/>
        </w:rPr>
        <w:t>bénéficier d’une couverture améliorée si elle est admise dans le régime des ALD mais, dans ce cas, la prise en charge ne porte que sur le périmètre restreint des soins en rapport avec l’affection exonérante. De nombreux tr</w:t>
      </w:r>
      <w:r w:rsidRPr="0015646A">
        <w:rPr>
          <w:lang w:eastAsia="fr-FR"/>
        </w:rPr>
        <w:t>a</w:t>
      </w:r>
      <w:r w:rsidRPr="0015646A">
        <w:rPr>
          <w:lang w:eastAsia="fr-FR"/>
        </w:rPr>
        <w:t>vaux ont montré que les bénéficiaires d’une ALD subissaient des restes à charge importants.</w:t>
      </w:r>
    </w:p>
    <w:p w14:paraId="79D721CD" w14:textId="696855C4" w:rsidR="0015646A" w:rsidRPr="0015646A" w:rsidRDefault="0015646A" w:rsidP="0061744A">
      <w:pPr>
        <w:pStyle w:val="Corpsdetexte"/>
        <w:ind w:firstLine="284"/>
        <w:rPr>
          <w:lang w:eastAsia="fr-FR"/>
        </w:rPr>
      </w:pPr>
      <w:r w:rsidRPr="0015646A">
        <w:rPr>
          <w:lang w:eastAsia="fr-FR"/>
        </w:rPr>
        <w:lastRenderedPageBreak/>
        <w:t xml:space="preserve">De plus, </w:t>
      </w:r>
      <w:r w:rsidR="002B24EE">
        <w:rPr>
          <w:lang w:eastAsia="fr-FR"/>
        </w:rPr>
        <w:t>l</w:t>
      </w:r>
      <w:r w:rsidRPr="0015646A">
        <w:rPr>
          <w:lang w:eastAsia="fr-FR"/>
        </w:rPr>
        <w:t>’IRDES</w:t>
      </w:r>
      <w:r w:rsidRPr="0015646A">
        <w:rPr>
          <w:vertAlign w:val="superscript"/>
          <w:lang w:eastAsia="fr-FR"/>
        </w:rPr>
        <w:footnoteReference w:id="26"/>
      </w:r>
      <w:r w:rsidRPr="0015646A">
        <w:rPr>
          <w:lang w:eastAsia="fr-FR"/>
        </w:rPr>
        <w:t xml:space="preserve"> met en exergue une concentration des inégalités d’accès aux soins courants chez les pe</w:t>
      </w:r>
      <w:r w:rsidRPr="0015646A">
        <w:rPr>
          <w:lang w:eastAsia="fr-FR"/>
        </w:rPr>
        <w:t>r</w:t>
      </w:r>
      <w:r w:rsidRPr="0015646A">
        <w:rPr>
          <w:lang w:eastAsia="fr-FR"/>
        </w:rPr>
        <w:t>sonnes relevant de l’AAH, avec de surcroît des iniquités par rapport à d’autres populations dans des situations comparables</w:t>
      </w:r>
      <w:r w:rsidR="00F1704D">
        <w:rPr>
          <w:lang w:eastAsia="fr-FR"/>
        </w:rPr>
        <w:t xml:space="preserve">. Ils ont </w:t>
      </w:r>
      <w:r w:rsidRPr="0015646A">
        <w:rPr>
          <w:lang w:eastAsia="fr-FR"/>
        </w:rPr>
        <w:t>en particulier de</w:t>
      </w:r>
      <w:r w:rsidR="00F1704D">
        <w:rPr>
          <w:lang w:eastAsia="fr-FR"/>
        </w:rPr>
        <w:t>s</w:t>
      </w:r>
      <w:r w:rsidRPr="0015646A">
        <w:rPr>
          <w:lang w:eastAsia="fr-FR"/>
        </w:rPr>
        <w:t xml:space="preserve"> restes à charge </w:t>
      </w:r>
      <w:r w:rsidR="00F1704D">
        <w:rPr>
          <w:lang w:eastAsia="fr-FR"/>
        </w:rPr>
        <w:t xml:space="preserve">sur les soins </w:t>
      </w:r>
      <w:r w:rsidRPr="0015646A">
        <w:rPr>
          <w:lang w:eastAsia="fr-FR"/>
        </w:rPr>
        <w:t>ophtalmologiques et optiques beaucoup plus importants que ceux qui perçoi</w:t>
      </w:r>
      <w:r w:rsidR="00B443F8">
        <w:rPr>
          <w:lang w:eastAsia="fr-FR"/>
        </w:rPr>
        <w:t xml:space="preserve">vent une pension d’invalidité. </w:t>
      </w:r>
    </w:p>
    <w:p w14:paraId="4D38A2CB" w14:textId="77777777" w:rsidR="0015646A" w:rsidRPr="0015646A" w:rsidRDefault="0015646A" w:rsidP="0061744A">
      <w:pPr>
        <w:pStyle w:val="Corpsdetexte"/>
        <w:ind w:firstLine="284"/>
        <w:rPr>
          <w:lang w:eastAsia="fr-FR"/>
        </w:rPr>
      </w:pPr>
      <w:r w:rsidRPr="0015646A">
        <w:rPr>
          <w:lang w:eastAsia="fr-FR"/>
        </w:rPr>
        <w:t>Remontée par plusieurs de nos interlocuteurs, cette iniquité est ainsi résumée par L’IRDES : « la situation app</w:t>
      </w:r>
      <w:r w:rsidRPr="0015646A">
        <w:rPr>
          <w:lang w:eastAsia="fr-FR"/>
        </w:rPr>
        <w:t>a</w:t>
      </w:r>
      <w:r w:rsidRPr="0015646A">
        <w:rPr>
          <w:lang w:eastAsia="fr-FR"/>
        </w:rPr>
        <w:t>raît donc assez inéquitable selon les motifs de reconnaissance administrative de handicap entre des bénéficiaires de l’AAH, qui cumulent déjà les caractéristiques sociales les moins favorables et qui doivent de surcroît supporter leur ticket modérateur (sauf à être admis en ALD ou à la CMU-C) et des bénéficiaires de pensions d’invalidité, qui bénéficient de la prise en charge de leur ticket modérateur ».</w:t>
      </w:r>
      <w:r w:rsidR="00B443F8">
        <w:rPr>
          <w:lang w:eastAsia="fr-FR"/>
        </w:rPr>
        <w:t xml:space="preserve"> </w:t>
      </w:r>
    </w:p>
    <w:p w14:paraId="10CA2030" w14:textId="62AF3251" w:rsidR="0015646A" w:rsidRPr="0015646A" w:rsidRDefault="0015646A" w:rsidP="00B443F8">
      <w:pPr>
        <w:pStyle w:val="EncadreCorpsdeTexte"/>
      </w:pPr>
      <w:r w:rsidRPr="0015646A">
        <w:t>Proposition n°</w:t>
      </w:r>
      <w:r w:rsidR="00422705">
        <w:t>10</w:t>
      </w:r>
      <w:r w:rsidR="00F01FB6" w:rsidRPr="0015646A">
        <w:t xml:space="preserve"> </w:t>
      </w:r>
      <w:r w:rsidRPr="0015646A">
        <w:t>- Il est proposé d’harmoniser la prise en charge des soins des bénéficiaires de l’AAH sur celles des bénéficiaires des pensions d’invalidité, en instaurant la prise en charge à 100% des soins par l’assurance maladie obligatoire (exonération du ticket modérateur)</w:t>
      </w:r>
      <w:r w:rsidRPr="00337970">
        <w:t>.</w:t>
      </w:r>
      <w:r w:rsidRPr="0015646A">
        <w:t xml:space="preserve"> </w:t>
      </w:r>
    </w:p>
    <w:p w14:paraId="35418E21" w14:textId="77777777" w:rsidR="00B443F8" w:rsidRPr="00B443F8" w:rsidRDefault="00B443F8" w:rsidP="00550CA1">
      <w:pPr>
        <w:pStyle w:val="Titre7"/>
      </w:pPr>
      <w:r w:rsidRPr="00B443F8">
        <w:t xml:space="preserve">Améliorer la prestation de compensation du handicap (PCH) </w:t>
      </w:r>
    </w:p>
    <w:p w14:paraId="2EF666C6" w14:textId="77777777" w:rsidR="00B443F8" w:rsidRPr="00B443F8" w:rsidRDefault="00B443F8" w:rsidP="00B443F8">
      <w:pPr>
        <w:pStyle w:val="Corpsdetexte"/>
        <w:rPr>
          <w:lang w:eastAsia="fr-FR"/>
        </w:rPr>
      </w:pPr>
      <w:r w:rsidRPr="00B443F8">
        <w:rPr>
          <w:lang w:eastAsia="fr-FR"/>
        </w:rPr>
        <w:t>La PCH est une aide financière versée par le département. Elle permet la prise en charge de certaines dépenses liées au handicap. La PCH comprend plusieurs formes d’aides :</w:t>
      </w:r>
    </w:p>
    <w:p w14:paraId="3DD18B27" w14:textId="762A3FC3" w:rsidR="00B443F8" w:rsidRPr="00B443F8" w:rsidRDefault="0030514F" w:rsidP="00B443F8">
      <w:pPr>
        <w:pStyle w:val="Listecontinue"/>
      </w:pPr>
      <w:r>
        <w:t>a</w:t>
      </w:r>
      <w:r w:rsidR="00B443F8" w:rsidRPr="00B443F8">
        <w:t>ides humaines : service d'aide à domicile ou dédommagement d’un aidant familial ;</w:t>
      </w:r>
    </w:p>
    <w:p w14:paraId="2AD42D1D" w14:textId="4DDD2316" w:rsidR="00B443F8" w:rsidRPr="00B443F8" w:rsidRDefault="0030514F" w:rsidP="00B443F8">
      <w:pPr>
        <w:pStyle w:val="Listecontinue"/>
      </w:pPr>
      <w:r>
        <w:t>a</w:t>
      </w:r>
      <w:r w:rsidR="00B443F8" w:rsidRPr="00B443F8">
        <w:t>ide à l'aménagement du logement ;</w:t>
      </w:r>
    </w:p>
    <w:p w14:paraId="28D37220" w14:textId="3797D796" w:rsidR="00B443F8" w:rsidRPr="00B443F8" w:rsidRDefault="0030514F" w:rsidP="00B443F8">
      <w:pPr>
        <w:pStyle w:val="Listecontinue"/>
      </w:pPr>
      <w:r>
        <w:t>a</w:t>
      </w:r>
      <w:r w:rsidR="00B443F8" w:rsidRPr="00B443F8">
        <w:t xml:space="preserve">ide technique : achat ou la location d'un matériel compensant le handicap (notamment ceux inscrit dans la </w:t>
      </w:r>
      <w:r>
        <w:t xml:space="preserve">liste des </w:t>
      </w:r>
      <w:r w:rsidR="00D65432">
        <w:t>produits</w:t>
      </w:r>
      <w:r>
        <w:t xml:space="preserve"> et prestations - </w:t>
      </w:r>
      <w:r w:rsidR="00B443F8" w:rsidRPr="00B443F8">
        <w:t>LPP</w:t>
      </w:r>
      <w:r>
        <w:t xml:space="preserve"> -</w:t>
      </w:r>
      <w:r w:rsidR="00B443F8" w:rsidRPr="00B443F8">
        <w:t xml:space="preserve">) </w:t>
      </w:r>
    </w:p>
    <w:p w14:paraId="52CDFF21" w14:textId="5736721A" w:rsidR="00B443F8" w:rsidRPr="00B443F8" w:rsidRDefault="0030514F" w:rsidP="00B443F8">
      <w:pPr>
        <w:pStyle w:val="Listecontinue"/>
      </w:pPr>
      <w:r>
        <w:t>a</w:t>
      </w:r>
      <w:r w:rsidR="00B443F8" w:rsidRPr="00B443F8">
        <w:t>ide au transport : aménagement d’un véhicule et surcoûts liés aux trajets ;</w:t>
      </w:r>
    </w:p>
    <w:p w14:paraId="43C17618" w14:textId="5EC43CC4" w:rsidR="00B443F8" w:rsidRPr="00B443F8" w:rsidRDefault="0030514F" w:rsidP="00B443F8">
      <w:pPr>
        <w:pStyle w:val="Listecontinue"/>
      </w:pPr>
      <w:r>
        <w:t>a</w:t>
      </w:r>
      <w:r w:rsidR="00B443F8" w:rsidRPr="00B443F8">
        <w:t>ide animalière : acquisition et entretien d'un animal participant à l’autonomie ;</w:t>
      </w:r>
    </w:p>
    <w:p w14:paraId="6FDC6024" w14:textId="295C0591" w:rsidR="00B443F8" w:rsidRPr="00B443F8" w:rsidRDefault="0030514F" w:rsidP="00B443F8">
      <w:pPr>
        <w:pStyle w:val="Listecontinue"/>
      </w:pPr>
      <w:r>
        <w:t>a</w:t>
      </w:r>
      <w:r w:rsidR="00B443F8" w:rsidRPr="00B443F8">
        <w:t>ides spécifiques ou exceptionnelles</w:t>
      </w:r>
      <w:r w:rsidR="00B443F8">
        <w:t>.</w:t>
      </w:r>
    </w:p>
    <w:p w14:paraId="746134B8" w14:textId="2A38A46E" w:rsidR="00B443F8" w:rsidRPr="00B443F8" w:rsidRDefault="00B443F8" w:rsidP="00B443F8">
      <w:pPr>
        <w:pStyle w:val="Corpsdetexte"/>
        <w:rPr>
          <w:lang w:eastAsia="fr-FR"/>
        </w:rPr>
      </w:pPr>
      <w:r w:rsidRPr="00B443F8">
        <w:rPr>
          <w:lang w:eastAsia="fr-FR"/>
        </w:rPr>
        <w:t>La PCH est un dispositif indispensable pour le financement de certains dispositifs médicaux à tarification libre (sans prix limite de vente</w:t>
      </w:r>
      <w:r w:rsidR="00D65432">
        <w:rPr>
          <w:lang w:eastAsia="fr-FR"/>
        </w:rPr>
        <w:t xml:space="preserve"> - PLV -</w:t>
      </w:r>
      <w:r w:rsidRPr="00B443F8">
        <w:rPr>
          <w:lang w:eastAsia="fr-FR"/>
        </w:rPr>
        <w:t>). Pour les personnes en situation de handicap (couvertes par l’AAH ou une pension d’invalidité), le montant du dépassement au-delà du tarif de responsabilité de sécurité sociale peut être cons</w:t>
      </w:r>
      <w:r w:rsidRPr="00B443F8">
        <w:rPr>
          <w:lang w:eastAsia="fr-FR"/>
        </w:rPr>
        <w:t>é</w:t>
      </w:r>
      <w:r w:rsidRPr="00B443F8">
        <w:rPr>
          <w:lang w:eastAsia="fr-FR"/>
        </w:rPr>
        <w:t>quent selon les dispositifs considérés. L’analyse détaillée des consommations des dispositifs médicaux présentant les dépassements selon différentes populations (CMU-C, ACS, AAH / inval</w:t>
      </w:r>
      <w:r>
        <w:rPr>
          <w:lang w:eastAsia="fr-FR"/>
        </w:rPr>
        <w:t>idité) est présentée en annexe</w:t>
      </w:r>
      <w:r w:rsidR="00FD4055">
        <w:rPr>
          <w:lang w:eastAsia="fr-FR"/>
        </w:rPr>
        <w:t xml:space="preserve"> 12</w:t>
      </w:r>
      <w:r>
        <w:rPr>
          <w:lang w:eastAsia="fr-FR"/>
        </w:rPr>
        <w:t>.</w:t>
      </w:r>
    </w:p>
    <w:p w14:paraId="5030698F" w14:textId="4A4E67C3" w:rsidR="00B443F8" w:rsidRPr="00B443F8" w:rsidRDefault="00B443F8" w:rsidP="00B443F8">
      <w:pPr>
        <w:pStyle w:val="Corpsdetexte"/>
        <w:rPr>
          <w:lang w:eastAsia="fr-FR"/>
        </w:rPr>
      </w:pPr>
      <w:r w:rsidRPr="00B443F8">
        <w:rPr>
          <w:lang w:eastAsia="fr-FR"/>
        </w:rPr>
        <w:t>En 2016, les dispositifs médicaux susceptibles de présenter des dépassements supérieurs à 1</w:t>
      </w:r>
      <w:r w:rsidR="00E65AE7">
        <w:rPr>
          <w:lang w:eastAsia="fr-FR"/>
        </w:rPr>
        <w:t xml:space="preserve"> </w:t>
      </w:r>
      <w:r w:rsidRPr="00B443F8">
        <w:rPr>
          <w:lang w:eastAsia="fr-FR"/>
        </w:rPr>
        <w:t xml:space="preserve">000 </w:t>
      </w:r>
      <w:r w:rsidR="009C3ADC">
        <w:rPr>
          <w:lang w:eastAsia="fr-FR"/>
        </w:rPr>
        <w:t>euros</w:t>
      </w:r>
      <w:r w:rsidR="009C3ADC" w:rsidRPr="00B443F8">
        <w:rPr>
          <w:lang w:eastAsia="fr-FR"/>
        </w:rPr>
        <w:t xml:space="preserve"> </w:t>
      </w:r>
      <w:r w:rsidRPr="00B443F8">
        <w:rPr>
          <w:lang w:eastAsia="fr-FR"/>
        </w:rPr>
        <w:t>sont :</w:t>
      </w:r>
    </w:p>
    <w:p w14:paraId="6C4E7062" w14:textId="47C1BD43" w:rsidR="00B443F8" w:rsidRPr="00B443F8" w:rsidRDefault="0030514F" w:rsidP="00B443F8">
      <w:pPr>
        <w:pStyle w:val="Listecontinue"/>
      </w:pPr>
      <w:r>
        <w:t>l</w:t>
      </w:r>
      <w:r w:rsidR="00B443F8" w:rsidRPr="00B443F8">
        <w:t>es fauteuils roulants électriques, pour lesquels 43% des consommants ont un dépassement moyen de 2</w:t>
      </w:r>
      <w:r w:rsidR="00E65AE7">
        <w:t xml:space="preserve"> </w:t>
      </w:r>
      <w:r w:rsidR="00B443F8" w:rsidRPr="00B443F8">
        <w:t>864 </w:t>
      </w:r>
      <w:r w:rsidR="009C3ADC">
        <w:t>euros</w:t>
      </w:r>
    </w:p>
    <w:p w14:paraId="183A4CDA" w14:textId="79F8B6C4" w:rsidR="00B443F8" w:rsidRPr="00B443F8" w:rsidRDefault="0030514F" w:rsidP="00B443F8">
      <w:pPr>
        <w:pStyle w:val="Listecontinue"/>
      </w:pPr>
      <w:r>
        <w:t>l</w:t>
      </w:r>
      <w:r w:rsidR="00B443F8" w:rsidRPr="00B443F8">
        <w:t>es lits médicaux à l’achat, pour lesquels 57,2% des consommants ont un dépassement moyen de 1</w:t>
      </w:r>
      <w:r w:rsidR="00E65AE7">
        <w:t xml:space="preserve"> </w:t>
      </w:r>
      <w:r w:rsidR="00B443F8" w:rsidRPr="00B443F8">
        <w:t xml:space="preserve">674 </w:t>
      </w:r>
      <w:r w:rsidR="009C3ADC">
        <w:t>euros</w:t>
      </w:r>
      <w:r w:rsidR="009C3ADC" w:rsidRPr="00B443F8">
        <w:t xml:space="preserve"> </w:t>
      </w:r>
      <w:r w:rsidR="00B443F8" w:rsidRPr="00B443F8">
        <w:t>;</w:t>
      </w:r>
    </w:p>
    <w:p w14:paraId="0FA2F461" w14:textId="558880ED" w:rsidR="00B443F8" w:rsidRPr="00B443F8" w:rsidRDefault="00B443F8" w:rsidP="00B443F8">
      <w:pPr>
        <w:pStyle w:val="Listecontinue"/>
      </w:pPr>
      <w:r w:rsidRPr="00B443F8">
        <w:t xml:space="preserve">Les implants ORL dont les implants cochléaires, pour lesquels un tiers des consommants ont </w:t>
      </w:r>
      <w:r>
        <w:t>un dépassement moyen de 1</w:t>
      </w:r>
      <w:r w:rsidR="00E65AE7">
        <w:t xml:space="preserve"> </w:t>
      </w:r>
      <w:r>
        <w:t>371 </w:t>
      </w:r>
      <w:r w:rsidR="009C3ADC">
        <w:t>euros</w:t>
      </w:r>
      <w:r>
        <w:t>.</w:t>
      </w:r>
    </w:p>
    <w:p w14:paraId="7985F504" w14:textId="77777777" w:rsidR="00B443F8" w:rsidRPr="00B443F8" w:rsidRDefault="00B443F8" w:rsidP="00B443F8">
      <w:pPr>
        <w:pStyle w:val="Corpsdetexte"/>
        <w:rPr>
          <w:lang w:eastAsia="fr-FR"/>
        </w:rPr>
      </w:pPr>
      <w:r w:rsidRPr="00B443F8">
        <w:rPr>
          <w:lang w:eastAsia="fr-FR"/>
        </w:rPr>
        <w:t>Nous appuyons ainsi la recommandation générale de simplifier et d’améliorer la PCH formulée par Adrien Taquet et Jean-François Serres dans leur rapport au Premier Ministre de mai 2018</w:t>
      </w:r>
      <w:r w:rsidRPr="00B443F8">
        <w:rPr>
          <w:vertAlign w:val="superscript"/>
          <w:lang w:eastAsia="fr-FR"/>
        </w:rPr>
        <w:footnoteReference w:id="27"/>
      </w:r>
      <w:r w:rsidRPr="00B443F8">
        <w:rPr>
          <w:lang w:eastAsia="fr-FR"/>
        </w:rPr>
        <w:t>, en particulier celle concernant les aides techniques.</w:t>
      </w:r>
    </w:p>
    <w:p w14:paraId="23159B1B" w14:textId="47AF65C1" w:rsidR="00417E25" w:rsidRDefault="00B443F8" w:rsidP="00B443F8">
      <w:pPr>
        <w:pStyle w:val="EncadreCorpsdeTexte"/>
      </w:pPr>
      <w:r w:rsidRPr="00B443F8">
        <w:t>Proposition n°</w:t>
      </w:r>
      <w:r w:rsidR="00015D6A">
        <w:t>1</w:t>
      </w:r>
      <w:r w:rsidR="00422705">
        <w:t>1</w:t>
      </w:r>
      <w:r w:rsidR="00F01FB6" w:rsidRPr="00B443F8">
        <w:t xml:space="preserve"> </w:t>
      </w:r>
      <w:r w:rsidRPr="00B443F8">
        <w:t>- Réviser le référentiel des aides techniques : identifier les situations non couvertes par la PCH, confier à la CNSA la mise à jour des tarifs relatifs aux éléments pris en charge dans la PCH aide tec</w:t>
      </w:r>
      <w:r w:rsidRPr="00B443F8">
        <w:t>h</w:t>
      </w:r>
      <w:r w:rsidRPr="00B443F8">
        <w:t>nique, mieux coordonner ce référentiel avec la LPP.</w:t>
      </w:r>
    </w:p>
    <w:p w14:paraId="0EEC3001" w14:textId="57C30CF2" w:rsidR="00B443F8" w:rsidRPr="00B443F8" w:rsidRDefault="00B443F8" w:rsidP="00550CA1">
      <w:pPr>
        <w:pStyle w:val="Titre7"/>
      </w:pPr>
      <w:bookmarkStart w:id="332" w:name="_Hlk518658305"/>
      <w:r w:rsidRPr="00B443F8">
        <w:lastRenderedPageBreak/>
        <w:t>Mener une étude sur les restes à charge hospitaliers pour les personnes en ALD ou en situation de handicap non couvertes par la CMU-C, l’ACS ou l’AME</w:t>
      </w:r>
    </w:p>
    <w:p w14:paraId="15FA5DFF" w14:textId="1A1A3C65" w:rsidR="00B443F8" w:rsidRPr="00B443F8" w:rsidRDefault="00B443F8" w:rsidP="00181084">
      <w:pPr>
        <w:pStyle w:val="Corpsdetexte"/>
        <w:ind w:firstLine="284"/>
      </w:pPr>
      <w:r w:rsidRPr="00B443F8">
        <w:t>Le forfait hospitalier</w:t>
      </w:r>
      <w:r w:rsidRPr="00B443F8">
        <w:rPr>
          <w:vertAlign w:val="superscript"/>
        </w:rPr>
        <w:footnoteReference w:id="28"/>
      </w:r>
      <w:r w:rsidRPr="00B443F8">
        <w:t xml:space="preserve"> n'est pas remboursé par l'</w:t>
      </w:r>
      <w:r w:rsidR="00487B13">
        <w:t>assurance maladie obligatoire</w:t>
      </w:r>
      <w:r w:rsidRPr="00B443F8">
        <w:t xml:space="preserve">. Il est pris en charge par la CMU-C, l’ACS, l’AME et toute autre complémentaire en fonction du contrat </w:t>
      </w:r>
      <w:r w:rsidR="00F1704D">
        <w:t xml:space="preserve">de complémentaire santé </w:t>
      </w:r>
      <w:r w:rsidRPr="00B443F8">
        <w:t>sélectionné. Les personnes en ALD n’en sont pas exonérées. Le ticket modérateur représente quant à lui 20% des frais d'hospitalis</w:t>
      </w:r>
      <w:r w:rsidRPr="00B443F8">
        <w:t>a</w:t>
      </w:r>
      <w:r w:rsidRPr="00B443F8">
        <w:t xml:space="preserve">tion. Sa prise en charge intégrale par l’assurance maladie </w:t>
      </w:r>
      <w:r w:rsidR="00487B13">
        <w:t xml:space="preserve">obligatoire </w:t>
      </w:r>
      <w:r w:rsidRPr="00B443F8">
        <w:t>débute après le 31</w:t>
      </w:r>
      <w:r w:rsidRPr="00B443F8">
        <w:rPr>
          <w:vertAlign w:val="superscript"/>
        </w:rPr>
        <w:t>ème</w:t>
      </w:r>
      <w:r w:rsidRPr="00B443F8">
        <w:t xml:space="preserve"> jour. Les personnes en situation de handicap bénéficiaires </w:t>
      </w:r>
      <w:r w:rsidR="00F1704D" w:rsidRPr="00B443F8">
        <w:t>d</w:t>
      </w:r>
      <w:r w:rsidR="00F1704D">
        <w:t>’une</w:t>
      </w:r>
      <w:r w:rsidR="00F1704D" w:rsidRPr="00B443F8">
        <w:t xml:space="preserve"> </w:t>
      </w:r>
      <w:r w:rsidRPr="00B443F8">
        <w:t>ALD et qui ont choisi de ne pas souscrire un contrat complémentaire santé peuvent ainsi se voir rapidement exposé</w:t>
      </w:r>
      <w:r w:rsidR="003D4D62">
        <w:t>e</w:t>
      </w:r>
      <w:r w:rsidRPr="00B443F8">
        <w:t>s à un reste à charge très important. Des dispar</w:t>
      </w:r>
      <w:r w:rsidRPr="00B443F8">
        <w:t>i</w:t>
      </w:r>
      <w:r w:rsidRPr="00B443F8">
        <w:t xml:space="preserve">tés de tarification entre les établissements ont par ailleurs été soulignées depuis la mise en place de la </w:t>
      </w:r>
      <w:r w:rsidR="00AA5053">
        <w:t>tarification à l’activité (</w:t>
      </w:r>
      <w:r w:rsidRPr="00B443F8">
        <w:t>T2A</w:t>
      </w:r>
      <w:r w:rsidR="00AA5053">
        <w:t>)</w:t>
      </w:r>
      <w:r w:rsidR="00162275">
        <w:t>.</w:t>
      </w:r>
    </w:p>
    <w:p w14:paraId="40F4CBFD" w14:textId="7D42D55D" w:rsidR="00B443F8" w:rsidRPr="00B443F8" w:rsidRDefault="00301909" w:rsidP="00AB729D">
      <w:pPr>
        <w:pStyle w:val="EncadreCorpsdeTexte"/>
        <w:shd w:val="clear" w:color="auto" w:fill="auto"/>
      </w:pPr>
      <w:r w:rsidRPr="00B443F8">
        <w:t>P</w:t>
      </w:r>
      <w:r>
        <w:t>iste de travail</w:t>
      </w:r>
      <w:r w:rsidR="00B443F8" w:rsidRPr="00B443F8">
        <w:t xml:space="preserve"> - </w:t>
      </w:r>
      <w:r w:rsidR="00D805AD">
        <w:t>E</w:t>
      </w:r>
      <w:r w:rsidR="00B443F8" w:rsidRPr="00B443F8">
        <w:t xml:space="preserve">tablir un bilan de ces restes à charge hospitaliers de sorte à identifier des voies d’amélioration. </w:t>
      </w:r>
    </w:p>
    <w:bookmarkEnd w:id="332"/>
    <w:p w14:paraId="0A428646" w14:textId="77777777" w:rsidR="005635AF" w:rsidRPr="00417E25" w:rsidRDefault="005635AF" w:rsidP="005635AF">
      <w:pPr>
        <w:pStyle w:val="Titre5"/>
      </w:pPr>
      <w:r w:rsidRPr="00417E25">
        <w:t xml:space="preserve">Etablir un bilan de la couverture complémentaire des personnes travaillant dans les établissements et services d'aide par le travail </w:t>
      </w:r>
    </w:p>
    <w:p w14:paraId="3525EB58" w14:textId="7B8BA828" w:rsidR="00067BF9" w:rsidRDefault="00067BF9" w:rsidP="00181084">
      <w:pPr>
        <w:ind w:firstLine="284"/>
        <w:jc w:val="both"/>
      </w:pPr>
      <w:r>
        <w:t xml:space="preserve">Les </w:t>
      </w:r>
      <w:r w:rsidR="00F1704D">
        <w:t>é</w:t>
      </w:r>
      <w:r>
        <w:t xml:space="preserve">tablissements et </w:t>
      </w:r>
      <w:r w:rsidR="00F1704D">
        <w:t>s</w:t>
      </w:r>
      <w:r>
        <w:t>ervices d'</w:t>
      </w:r>
      <w:r w:rsidR="00F1704D">
        <w:t>a</w:t>
      </w:r>
      <w:r>
        <w:t xml:space="preserve">ide par le </w:t>
      </w:r>
      <w:r w:rsidR="00F1704D">
        <w:t>t</w:t>
      </w:r>
      <w:r>
        <w:t xml:space="preserve">ravail </w:t>
      </w:r>
      <w:r w:rsidR="00F1704D">
        <w:t>(</w:t>
      </w:r>
      <w:r w:rsidR="00487B13">
        <w:t>ESAT</w:t>
      </w:r>
      <w:r w:rsidR="00F1704D">
        <w:t xml:space="preserve">) </w:t>
      </w:r>
      <w:r>
        <w:t>participent à l’insertion des personnes handic</w:t>
      </w:r>
      <w:r>
        <w:t>a</w:t>
      </w:r>
      <w:r>
        <w:t>pées et leur maintien dans l’emploi.</w:t>
      </w:r>
      <w:r w:rsidRPr="00310387">
        <w:t xml:space="preserve"> </w:t>
      </w:r>
    </w:p>
    <w:p w14:paraId="0AC2667D" w14:textId="77777777" w:rsidR="00067BF9" w:rsidRDefault="00067BF9" w:rsidP="00744783">
      <w:pPr>
        <w:jc w:val="both"/>
      </w:pPr>
    </w:p>
    <w:p w14:paraId="5EE282E1" w14:textId="37BF12F3" w:rsidR="00067BF9" w:rsidRDefault="00067BF9" w:rsidP="00181084">
      <w:pPr>
        <w:ind w:firstLine="284"/>
        <w:jc w:val="both"/>
      </w:pPr>
      <w:r>
        <w:t>L</w:t>
      </w:r>
      <w:r w:rsidRPr="000F4A4C">
        <w:t xml:space="preserve">es personnes travaillant dans les </w:t>
      </w:r>
      <w:r w:rsidR="00487B13" w:rsidRPr="000F4A4C">
        <w:t>E</w:t>
      </w:r>
      <w:r w:rsidR="00487B13">
        <w:t>SAT</w:t>
      </w:r>
      <w:r>
        <w:rPr>
          <w:rStyle w:val="Appelnotedebasdep"/>
        </w:rPr>
        <w:footnoteReference w:id="29"/>
      </w:r>
      <w:r w:rsidRPr="000F4A4C">
        <w:t xml:space="preserve"> ne sont</w:t>
      </w:r>
      <w:r>
        <w:t xml:space="preserve"> toutefois</w:t>
      </w:r>
      <w:r w:rsidRPr="000F4A4C">
        <w:t xml:space="preserve"> pas des salariés au sens du code du travail. </w:t>
      </w:r>
      <w:r>
        <w:t>Elle</w:t>
      </w:r>
      <w:r w:rsidRPr="000F4A4C">
        <w:t>s ne sont donc pas éligibles à la complémentaire santé d'entreprise prévue par l'accord national interprofessionnel</w:t>
      </w:r>
      <w:r w:rsidR="00487B13">
        <w:t xml:space="preserve"> (ANI)</w:t>
      </w:r>
      <w:r w:rsidRPr="000F4A4C">
        <w:t xml:space="preserve"> repris par la loi du 14 juin 2013.</w:t>
      </w:r>
      <w:r>
        <w:t xml:space="preserve"> Elles n’ont </w:t>
      </w:r>
      <w:r w:rsidR="00CC354E">
        <w:t xml:space="preserve">de surcroît </w:t>
      </w:r>
      <w:r>
        <w:t xml:space="preserve">pas accès à la CMU-C ou à l’ACS du fait de revenus proches du </w:t>
      </w:r>
      <w:r w:rsidR="00831532">
        <w:t>salaire minimum de croissance (</w:t>
      </w:r>
      <w:r>
        <w:t>SMIC</w:t>
      </w:r>
      <w:r w:rsidR="00831532">
        <w:t>)</w:t>
      </w:r>
      <w:r>
        <w:t xml:space="preserve">. </w:t>
      </w:r>
    </w:p>
    <w:p w14:paraId="32C3D7CB" w14:textId="77777777" w:rsidR="00067BF9" w:rsidRDefault="00067BF9" w:rsidP="00744783">
      <w:pPr>
        <w:jc w:val="both"/>
      </w:pPr>
    </w:p>
    <w:p w14:paraId="1E3A495C" w14:textId="0CE79355" w:rsidR="00067BF9" w:rsidRPr="00C06BCC" w:rsidRDefault="00067BF9" w:rsidP="00181084">
      <w:pPr>
        <w:ind w:firstLine="284"/>
        <w:jc w:val="both"/>
        <w:rPr>
          <w:color w:val="000000"/>
        </w:rPr>
      </w:pPr>
      <w:r>
        <w:rPr>
          <w:color w:val="000000"/>
        </w:rPr>
        <w:t>Le fait que les travailleurs des ESAT soient en dehors du champ de l’ANI n’empêche pas ces structures de mettre en place des couvertures collectives ou obligatoires. De plus, selon l’</w:t>
      </w:r>
      <w:r w:rsidR="00CD3DED">
        <w:rPr>
          <w:color w:val="000000"/>
        </w:rPr>
        <w:t>a</w:t>
      </w:r>
      <w:r w:rsidR="00831532" w:rsidRPr="00831532">
        <w:rPr>
          <w:color w:val="000000"/>
        </w:rPr>
        <w:t xml:space="preserve">gence centrale des organismes de sécurité sociale </w:t>
      </w:r>
      <w:r w:rsidR="00831532">
        <w:rPr>
          <w:color w:val="000000"/>
        </w:rPr>
        <w:t>(</w:t>
      </w:r>
      <w:r>
        <w:rPr>
          <w:color w:val="000000"/>
        </w:rPr>
        <w:t>A</w:t>
      </w:r>
      <w:r w:rsidR="00831532">
        <w:rPr>
          <w:color w:val="000000"/>
        </w:rPr>
        <w:t>COSS)</w:t>
      </w:r>
      <w:r>
        <w:rPr>
          <w:color w:val="000000"/>
        </w:rPr>
        <w:t>, ces travailleurs peuvent constituer une catégorie objective permettant aux « e</w:t>
      </w:r>
      <w:r>
        <w:rPr>
          <w:color w:val="000000"/>
        </w:rPr>
        <w:t>m</w:t>
      </w:r>
      <w:r>
        <w:rPr>
          <w:color w:val="000000"/>
        </w:rPr>
        <w:t xml:space="preserve">ployeurs » de bénéficier de l’exclusion d’assiette de cotisations sociales de la participation patronale au financement des garanties de protection sociale complémentaire. Toutefois, </w:t>
      </w:r>
      <w:r w:rsidR="004F1614">
        <w:t>l</w:t>
      </w:r>
      <w:r w:rsidRPr="000F4A4C">
        <w:t xml:space="preserve">'adhésion de </w:t>
      </w:r>
      <w:r w:rsidR="00831532" w:rsidRPr="000F4A4C">
        <w:t>l'E</w:t>
      </w:r>
      <w:r w:rsidR="00831532">
        <w:t>SAT</w:t>
      </w:r>
      <w:r w:rsidR="00831532" w:rsidRPr="000F4A4C">
        <w:t xml:space="preserve"> </w:t>
      </w:r>
      <w:r w:rsidRPr="000F4A4C">
        <w:t xml:space="preserve">à </w:t>
      </w:r>
      <w:r>
        <w:t>une couverture complémentaire</w:t>
      </w:r>
      <w:r w:rsidRPr="000F4A4C">
        <w:t xml:space="preserve"> collective </w:t>
      </w:r>
      <w:r w:rsidR="00F1704D">
        <w:t>r</w:t>
      </w:r>
      <w:r w:rsidRPr="000F4A4C">
        <w:t>est</w:t>
      </w:r>
      <w:r w:rsidR="00F1704D">
        <w:t>e</w:t>
      </w:r>
      <w:r w:rsidRPr="000F4A4C">
        <w:t xml:space="preserve"> facultative</w:t>
      </w:r>
      <w:r>
        <w:rPr>
          <w:rStyle w:val="Appelnotedebasdep"/>
        </w:rPr>
        <w:footnoteReference w:id="30"/>
      </w:r>
      <w:r>
        <w:t>.</w:t>
      </w:r>
    </w:p>
    <w:p w14:paraId="3D1D1441" w14:textId="77777777" w:rsidR="00067BF9" w:rsidRDefault="00067BF9" w:rsidP="00744783">
      <w:pPr>
        <w:jc w:val="both"/>
      </w:pPr>
    </w:p>
    <w:p w14:paraId="1F9EE68B" w14:textId="2B0BDACE" w:rsidR="00067BF9" w:rsidRDefault="00067BF9" w:rsidP="00181084">
      <w:pPr>
        <w:ind w:firstLine="284"/>
        <w:jc w:val="both"/>
      </w:pPr>
      <w:r>
        <w:t>La population des personnes travaillant dans les ESAT nécessitant des besoins de complémentaire santé en pa</w:t>
      </w:r>
      <w:r>
        <w:t>r</w:t>
      </w:r>
      <w:r>
        <w:t xml:space="preserve">ticulier sur le plan hospitalier ou psychiatrique, il est souhaitable d’établir un bilan de leur niveau de couverture complémentaire santé et de leurs restes à charge en santé. Il est également recommandé d’accompagner les ESAT et de renforcer l’information sur les modalités de mise en </w:t>
      </w:r>
      <w:r w:rsidR="00A91DEF">
        <w:t>œuvre</w:t>
      </w:r>
      <w:r>
        <w:t xml:space="preserve"> d’une complémentaire santé et les avantages dont ils peuvent bénéficier (exonérations,</w:t>
      </w:r>
      <w:r w:rsidR="00B46142">
        <w:t xml:space="preserve"> etc.</w:t>
      </w:r>
      <w:r>
        <w:t>).</w:t>
      </w:r>
    </w:p>
    <w:p w14:paraId="2DFF2FAC" w14:textId="77777777" w:rsidR="00067BF9" w:rsidRDefault="00067BF9" w:rsidP="00067BF9"/>
    <w:p w14:paraId="31D4B6C5" w14:textId="30FA4209" w:rsidR="00067BF9" w:rsidRDefault="00D805AD" w:rsidP="00713CCA">
      <w:pPr>
        <w:pStyle w:val="EncadreCorpsdeTexte"/>
        <w:shd w:val="clear" w:color="auto" w:fill="auto"/>
      </w:pPr>
      <w:r>
        <w:t xml:space="preserve">Piste de travail </w:t>
      </w:r>
      <w:r w:rsidR="00067BF9">
        <w:t>– Etablir un bilan de la couverture complémentaire des personnes travaillant dans les ESAT</w:t>
      </w:r>
      <w:r w:rsidR="00D65432">
        <w:t>.</w:t>
      </w:r>
    </w:p>
    <w:p w14:paraId="487482E0" w14:textId="77777777" w:rsidR="00067BF9" w:rsidRDefault="00067BF9" w:rsidP="00067BF9">
      <w:pPr>
        <w:ind w:firstLine="284"/>
      </w:pPr>
    </w:p>
    <w:p w14:paraId="448CFD8C" w14:textId="77777777" w:rsidR="001B7F00" w:rsidRPr="001B7F00" w:rsidRDefault="001B7F00" w:rsidP="001B7F00">
      <w:pPr>
        <w:pStyle w:val="Titre5"/>
      </w:pPr>
      <w:r w:rsidRPr="001B7F00">
        <w:lastRenderedPageBreak/>
        <w:t>Offrir aux bénéficiaires de l’ACS une couverture santé aussi protectrice que la CMU</w:t>
      </w:r>
      <w:r w:rsidRPr="001B7F00">
        <w:noBreakHyphen/>
        <w:t xml:space="preserve">C, sans restes à charge sur leurs dépenses de santé </w:t>
      </w:r>
    </w:p>
    <w:p w14:paraId="6FE7CD6E" w14:textId="77A6D323" w:rsidR="001B7F00" w:rsidRDefault="001B7F00" w:rsidP="00181084">
      <w:pPr>
        <w:pStyle w:val="Corpsdetexte"/>
        <w:ind w:firstLine="284"/>
      </w:pPr>
      <w:r w:rsidRPr="001B7F00" w:rsidDel="003E256C">
        <w:rPr>
          <w:b/>
        </w:rPr>
        <w:t xml:space="preserve"> </w:t>
      </w:r>
      <w:r w:rsidRPr="001B7F00">
        <w:t>Si la réforme de l’ACS en 2015 a amélioré l’accès des personnes modestes à des contrats de complémentaire santé de qualité, le dispositif de l’ACS reste encore affecté de plusieurs défauts (</w:t>
      </w:r>
      <w:r w:rsidRPr="00EA1EEF">
        <w:rPr>
          <w:i/>
        </w:rPr>
        <w:t>cf.</w:t>
      </w:r>
      <w:r w:rsidRPr="001B7F00">
        <w:t xml:space="preserve"> rapport d’évaluation de l’ACS du Fonds CMU</w:t>
      </w:r>
      <w:r w:rsidRPr="001B7F00">
        <w:noBreakHyphen/>
        <w:t xml:space="preserve">C </w:t>
      </w:r>
      <w:r w:rsidRPr="001B7F00">
        <w:rPr>
          <w:vertAlign w:val="superscript"/>
        </w:rPr>
        <w:footnoteReference w:id="31"/>
      </w:r>
      <w:r>
        <w:t xml:space="preserve"> et annexe</w:t>
      </w:r>
      <w:r w:rsidR="005E089A">
        <w:t xml:space="preserve"> 11</w:t>
      </w:r>
      <w:r>
        <w:t>).</w:t>
      </w:r>
    </w:p>
    <w:p w14:paraId="64FC3131" w14:textId="548482D5" w:rsidR="00F1704D" w:rsidRPr="001B7F00" w:rsidRDefault="00F1704D" w:rsidP="00181084">
      <w:pPr>
        <w:pStyle w:val="Corpsdetexte"/>
        <w:ind w:firstLine="284"/>
      </w:pPr>
      <w:r>
        <w:t>Or, cette aide est destinée à des personnes qui vivent sous le seuil de pauvreté ou qui cumulent précarité et handicap, les bénéficiaires de l’AAH n’ayant g</w:t>
      </w:r>
      <w:r w:rsidR="00955E4F">
        <w:t>énéralement</w:t>
      </w:r>
      <w:r>
        <w:t xml:space="preserve"> pas accès à la CMU</w:t>
      </w:r>
      <w:r>
        <w:noBreakHyphen/>
        <w:t>C mais à l’ACS en raison des cond</w:t>
      </w:r>
      <w:r>
        <w:t>i</w:t>
      </w:r>
      <w:r>
        <w:t xml:space="preserve">tions de ressources respectives des </w:t>
      </w:r>
      <w:r w:rsidR="00955E4F">
        <w:t>dispositifs</w:t>
      </w:r>
      <w:r>
        <w:t xml:space="preserve">. </w:t>
      </w:r>
    </w:p>
    <w:p w14:paraId="2AC0F28B" w14:textId="00D5C9C9" w:rsidR="001B7F00" w:rsidRPr="001B7F00" w:rsidRDefault="001B7F00" w:rsidP="00181084">
      <w:pPr>
        <w:pStyle w:val="Corpsdetexte"/>
        <w:ind w:firstLine="284"/>
      </w:pPr>
      <w:r w:rsidRPr="001B7F00">
        <w:t>Bien qu’en augmentation, le taux de recours au dispositif reste très faible, entre 36% et 51% en 2016 selon la DREES</w:t>
      </w:r>
      <w:r w:rsidRPr="001B7F00">
        <w:rPr>
          <w:vertAlign w:val="superscript"/>
        </w:rPr>
        <w:footnoteReference w:id="32"/>
      </w:r>
      <w:r w:rsidRPr="001B7F00">
        <w:t>. Entre 1 et 2,3 millions de personnes n’auraient ainsi pas recours à l’ACS alors qu’elles y sont théoriqu</w:t>
      </w:r>
      <w:r w:rsidRPr="001B7F00">
        <w:t>e</w:t>
      </w:r>
      <w:r w:rsidRPr="001B7F00">
        <w:t>ment éligibles</w:t>
      </w:r>
      <w:r w:rsidRPr="001B7F00">
        <w:rPr>
          <w:vertAlign w:val="superscript"/>
        </w:rPr>
        <w:footnoteReference w:id="33"/>
      </w:r>
      <w:r w:rsidRPr="001B7F00">
        <w:t>. En outre, plus de 20% des personnes ayant reçu une attestation ACS ne l’utilisent pas pour souscrire un co</w:t>
      </w:r>
      <w:r>
        <w:t xml:space="preserve">ntrat de complémentaire santé. </w:t>
      </w:r>
    </w:p>
    <w:p w14:paraId="47258275" w14:textId="202E2E63" w:rsidR="001B7F00" w:rsidRPr="001B7F00" w:rsidRDefault="001B7F00" w:rsidP="00181084">
      <w:pPr>
        <w:pStyle w:val="Corpsdetexte"/>
        <w:ind w:firstLine="284"/>
      </w:pPr>
      <w:r w:rsidRPr="001B7F00">
        <w:t>Le faible taux de recours à l’ACS s’explique pour partie par la complexité des démarches nécessaires afin d’obtenir l’aide et de l’utiliser, mais le principal facteur de non recours est financier. L’ACS laisse en effet des restes à charge importants pour les soins coûteux (optique, prothèse</w:t>
      </w:r>
      <w:r w:rsidR="00FF0746">
        <w:t>s</w:t>
      </w:r>
      <w:r w:rsidRPr="001B7F00">
        <w:t xml:space="preserve"> dentaires, audioprothèses) et, pour certaines pop</w:t>
      </w:r>
      <w:r w:rsidRPr="001B7F00">
        <w:t>u</w:t>
      </w:r>
      <w:r w:rsidRPr="001B7F00">
        <w:t xml:space="preserve">lations, des restes à payer significatifs sur le montant de la prime du contrat de complémentaire </w:t>
      </w:r>
      <w:r>
        <w:t xml:space="preserve">santé (cf. figure </w:t>
      </w:r>
      <w:r w:rsidR="00FF0746">
        <w:t>1)</w:t>
      </w:r>
      <w:r>
        <w:t xml:space="preserve">. </w:t>
      </w:r>
    </w:p>
    <w:p w14:paraId="050A92AE" w14:textId="5A6B7B77" w:rsidR="001B7F00" w:rsidRPr="001B7F00" w:rsidRDefault="001B7F00" w:rsidP="00181084">
      <w:pPr>
        <w:pStyle w:val="Corpsdetexte"/>
        <w:ind w:firstLine="284"/>
      </w:pPr>
      <w:r w:rsidRPr="001B7F00">
        <w:t xml:space="preserve">Le reste à charge des bénéficiaires de l’ACS sur le montant des prestations s’avère élevé sur les soins coûteux, même s’il a tendance à décroître avec le niveau des garanties souscrites : entre 430 </w:t>
      </w:r>
      <w:r w:rsidR="009C3ADC">
        <w:t>euros</w:t>
      </w:r>
      <w:r w:rsidRPr="001B7F00">
        <w:t xml:space="preserve"> (contrat A d’entrée de gamme) et 330</w:t>
      </w:r>
      <w:r w:rsidR="003160C1">
        <w:t> </w:t>
      </w:r>
      <w:r w:rsidR="009C3ADC">
        <w:t>euros</w:t>
      </w:r>
      <w:r w:rsidRPr="001B7F00">
        <w:t xml:space="preserve"> (contrat C haut de gamme) pour les prothèses dentaires, et jusqu’à 620 </w:t>
      </w:r>
      <w:r w:rsidR="009C3ADC">
        <w:t>euros</w:t>
      </w:r>
      <w:r w:rsidRPr="001B7F00">
        <w:t xml:space="preserve"> pour l’audioprothèse. </w:t>
      </w:r>
    </w:p>
    <w:p w14:paraId="01A9DE54" w14:textId="210DCBCE" w:rsidR="001B7F00" w:rsidRPr="001B7F00" w:rsidRDefault="003D6F61" w:rsidP="00181084">
      <w:pPr>
        <w:pStyle w:val="Corpsdetexte"/>
        <w:ind w:firstLine="284"/>
      </w:pPr>
      <w:r>
        <w:t xml:space="preserve">Les </w:t>
      </w:r>
      <w:r w:rsidRPr="001B7F00">
        <w:t>bénéficiaires de l’ACS participent encore en moyenne à hauteur de 38% au paiement de leur prime après utilisation du « chèque ACS »</w:t>
      </w:r>
      <w:r>
        <w:t>, même s</w:t>
      </w:r>
      <w:r w:rsidR="001B7F00" w:rsidRPr="001B7F00">
        <w:t>i le montant de la prime restant à l</w:t>
      </w:r>
      <w:r w:rsidR="00350B7D">
        <w:t>eur</w:t>
      </w:r>
      <w:r w:rsidR="001B7F00" w:rsidRPr="001B7F00">
        <w:t xml:space="preserve"> charge a diminué de 11%</w:t>
      </w:r>
      <w:r>
        <w:t xml:space="preserve"> depuis la réforme de 2015</w:t>
      </w:r>
      <w:r w:rsidR="001B7F00" w:rsidRPr="001B7F00">
        <w:t>. Il existe de surcroît de fortes variabilités selon l’âge. En 2016, le reste à payer moyen sur le co</w:t>
      </w:r>
      <w:r w:rsidR="001B7F00" w:rsidRPr="001B7F00">
        <w:t>n</w:t>
      </w:r>
      <w:r w:rsidR="001B7F00" w:rsidRPr="001B7F00">
        <w:t>trat C s’élève à 151 </w:t>
      </w:r>
      <w:r w:rsidR="009C3ADC">
        <w:t>euros</w:t>
      </w:r>
      <w:r w:rsidR="001B7F00" w:rsidRPr="001B7F00">
        <w:t xml:space="preserve"> pour les 16-29 ans alors qu’il s’établit à 363 </w:t>
      </w:r>
      <w:r w:rsidR="009C3ADC">
        <w:t>euros</w:t>
      </w:r>
      <w:r w:rsidR="001B7F00" w:rsidRPr="001B7F00">
        <w:t xml:space="preserve"> pour les 70-79 ans. De plus, compte tenu de la fragilité de l’équilibre financier des contrats actuels pour les organismes complémentaires gestionnaires de l’ACS et de l’impact de la réforme « 100% Santé » qui conduira à une hausse des garanties de l’ensemble des contrats de complémentaire santé, les tarifs des contrats ACS risquent d’augmenter de façon conséquente lors la prochaine mise en concurrence</w:t>
      </w:r>
      <w:r w:rsidR="001B7F00">
        <w:t xml:space="preserve"> actuellement prévue pour 2019.</w:t>
      </w:r>
    </w:p>
    <w:p w14:paraId="6CC2EA12" w14:textId="77777777" w:rsidR="001B7F00" w:rsidRPr="001B7F00" w:rsidRDefault="001B7F00" w:rsidP="001B7F00">
      <w:pPr>
        <w:pStyle w:val="Corpsdetexte"/>
      </w:pPr>
      <w:r w:rsidRPr="001B7F00">
        <w:t>Ainsi, il existe un effet de seuil important entre la CMU</w:t>
      </w:r>
      <w:r w:rsidRPr="001B7F00">
        <w:noBreakHyphen/>
        <w:t>C et l’ACS, la première étant gratuite, la seconde laissant une participation financière significative à une population qui se trouve pourta</w:t>
      </w:r>
      <w:r>
        <w:t xml:space="preserve">nt sous le seuil de pauvreté.  </w:t>
      </w:r>
    </w:p>
    <w:p w14:paraId="0C9A9F2B" w14:textId="77777777" w:rsidR="001B7F00" w:rsidRPr="001B7F00" w:rsidRDefault="001B7F00" w:rsidP="001B7F00">
      <w:pPr>
        <w:pStyle w:val="Corpsdetexte"/>
      </w:pPr>
      <w:r w:rsidRPr="001B7F00">
        <w:t xml:space="preserve">Au regard de l’ensemble de ces constats, </w:t>
      </w:r>
      <w:r>
        <w:t>nous proposons :</w:t>
      </w:r>
    </w:p>
    <w:p w14:paraId="22D8DF8F" w14:textId="2629B850" w:rsidR="001B7F00" w:rsidRPr="001B7F00" w:rsidRDefault="001B7F00" w:rsidP="001B7F00">
      <w:pPr>
        <w:pStyle w:val="EncadreCorpsdeTexte"/>
      </w:pPr>
      <w:r w:rsidRPr="001B7F00">
        <w:t>Proposition n°</w:t>
      </w:r>
      <w:r w:rsidR="00F01FB6">
        <w:t>1</w:t>
      </w:r>
      <w:r w:rsidR="00422705">
        <w:t>2</w:t>
      </w:r>
      <w:r w:rsidRPr="001B7F00">
        <w:t xml:space="preserve"> - Offrir aux bénéficiaires de l’ACS une couverture santé aussi protectrice que la CMU</w:t>
      </w:r>
      <w:r w:rsidRPr="001B7F00">
        <w:noBreakHyphen/>
        <w:t xml:space="preserve">C, sans reste à charge sur leurs dépenses de santé </w:t>
      </w:r>
      <w:r w:rsidR="00350B7D">
        <w:t>.</w:t>
      </w:r>
    </w:p>
    <w:p w14:paraId="7505277E" w14:textId="0A3DB0E0" w:rsidR="001B7F00" w:rsidRDefault="001B7F00" w:rsidP="001B7F00">
      <w:pPr>
        <w:pStyle w:val="Corpsdetexte"/>
      </w:pPr>
      <w:r>
        <w:t xml:space="preserve">Cela bénéficierait à des publics très vulnérables </w:t>
      </w:r>
      <w:r w:rsidR="001207AF">
        <w:t>dont une partie ne réunit pas les cond</w:t>
      </w:r>
      <w:r w:rsidR="001207AF">
        <w:t>i</w:t>
      </w:r>
      <w:r w:rsidR="001207AF">
        <w:t>tions d’octroi</w:t>
      </w:r>
      <w:r>
        <w:t xml:space="preserve"> de la CMU</w:t>
      </w:r>
      <w:r w:rsidR="008D090E">
        <w:t>-</w:t>
      </w:r>
      <w:r>
        <w:t xml:space="preserve">C, tels que </w:t>
      </w:r>
      <w:r w:rsidR="00350B7D">
        <w:t>d</w:t>
      </w:r>
      <w:r>
        <w:t>es bénéficiaires en situation de handicap titulaires de l’AAH</w:t>
      </w:r>
      <w:r w:rsidR="005C0B20">
        <w:rPr>
          <w:rStyle w:val="Appelnotedebasdep"/>
        </w:rPr>
        <w:footnoteReference w:id="34"/>
      </w:r>
      <w:r>
        <w:t xml:space="preserve"> ou d’une pension d’invalidité. La CNAM a démontré, dans le rapport charges et produits 2016, que ces personnes présentent une surmorbidité significativ</w:t>
      </w:r>
      <w:r>
        <w:t>e</w:t>
      </w:r>
      <w:r>
        <w:t xml:space="preserve">ment plus importante que les autres bénéficiaires de l’ACS. </w:t>
      </w:r>
    </w:p>
    <w:p w14:paraId="61C915F7" w14:textId="6E5BF035" w:rsidR="001B7F00" w:rsidRDefault="001B7F00" w:rsidP="001B7F00">
      <w:pPr>
        <w:pStyle w:val="Corpsdetexte"/>
      </w:pPr>
      <w:r>
        <w:t>Cela permettrait également de couvrir les retraités en situation de précarité, titulaires de l’ASPA. D’après la DREES, en 2012, 24% des allocataires de l’ASPA ne sont pas couverts par une complémentaire santé alors que le taux est de 5% chez les 60 ans ou plus. Pourtant, 47% des allocataires de l’ASPA se perçoivent en mauvaise ou très ma</w:t>
      </w:r>
      <w:r>
        <w:t>u</w:t>
      </w:r>
      <w:r>
        <w:t xml:space="preserve">vaise santé, alors que ce n’est le cas que de 15% des personnes de 60 ans ou plus. </w:t>
      </w:r>
    </w:p>
    <w:p w14:paraId="7A5C950B" w14:textId="77777777" w:rsidR="001B7F00" w:rsidRDefault="001B7F00" w:rsidP="001B7F00">
      <w:pPr>
        <w:pStyle w:val="Corpsdetexte"/>
      </w:pPr>
      <w:r>
        <w:lastRenderedPageBreak/>
        <w:t>Plusieurs options sont possibles et doivent être instruites, notamment :</w:t>
      </w:r>
    </w:p>
    <w:p w14:paraId="4CCED1EA" w14:textId="1FC34696" w:rsidR="001B7F00" w:rsidRDefault="001B7F00" w:rsidP="001B7F00">
      <w:pPr>
        <w:pStyle w:val="Listecontinue"/>
      </w:pPr>
      <w:r>
        <w:t xml:space="preserve">Le maintien du dispositif de l’ACS en l’état avec application des dispositions de la réforme du </w:t>
      </w:r>
      <w:r w:rsidR="003D6F61">
        <w:t>« </w:t>
      </w:r>
      <w:r>
        <w:t xml:space="preserve">100% </w:t>
      </w:r>
      <w:r w:rsidR="00D65432">
        <w:t>S</w:t>
      </w:r>
      <w:r>
        <w:t>anté</w:t>
      </w:r>
      <w:r w:rsidR="003D6F61">
        <w:t> »</w:t>
      </w:r>
      <w:r>
        <w:t xml:space="preserve"> aux bénéficiaires de l’ACS (accès à une offre optique, dentaire ou audioprothèses sans reste à charge). Dans cette hypothèse, un accroissement du montant du chèque ACS pour les populations qui pourraient subir une hausse de primes dans le cadre de la réforme </w:t>
      </w:r>
      <w:r w:rsidR="003D6F61">
        <w:t>« </w:t>
      </w:r>
      <w:r>
        <w:t xml:space="preserve">100% </w:t>
      </w:r>
      <w:r w:rsidR="00D65432">
        <w:t>S</w:t>
      </w:r>
      <w:r>
        <w:t xml:space="preserve">anté » devra être prévu. </w:t>
      </w:r>
    </w:p>
    <w:p w14:paraId="3557CEDB" w14:textId="2177AEA1" w:rsidR="001B7F00" w:rsidRDefault="001B7F00" w:rsidP="001B7F00">
      <w:pPr>
        <w:pStyle w:val="Listecontinue"/>
      </w:pPr>
      <w:r>
        <w:t>Une refonte du dispositif consistant à étendre la couverture CMU</w:t>
      </w:r>
      <w:r w:rsidR="003D6F61">
        <w:noBreakHyphen/>
      </w:r>
      <w:r>
        <w:t>C aux bénéficiaires de l’ACS. L’option actue</w:t>
      </w:r>
      <w:r>
        <w:t>l</w:t>
      </w:r>
      <w:r>
        <w:t>lement en cours d’instruction par la direction de la sécurité sociale et portée par la stratégie pauvreté sous le nom de « PUMa+ » consiste à gager pour partie le coût de l’extension par une contribution des assurés mod</w:t>
      </w:r>
      <w:r>
        <w:t>u</w:t>
      </w:r>
      <w:r>
        <w:t xml:space="preserve">lée selon l’âge des personnes. </w:t>
      </w:r>
    </w:p>
    <w:p w14:paraId="07DC89D6" w14:textId="07730A91" w:rsidR="00CC354E" w:rsidRDefault="00CC354E" w:rsidP="001B7F00">
      <w:pPr>
        <w:pStyle w:val="Corpsdetexte"/>
      </w:pPr>
      <w:r>
        <w:t>Ainsi, p</w:t>
      </w:r>
      <w:r w:rsidR="001B7F00">
        <w:t>lusieurs réponses techniques sont possibles. Dans ce cadre, il est essentiel de ne pas perdre de vue l’objectif d’amélioration de l’accès aux soins : offrir des paniers de soins adaptés sans reste à charge et sans augmenter le reste à payer sur les primes (voire en le diminuant), simplifier l’accès à la couverture par une convergence encore plus marquée des dispositifs CMU</w:t>
      </w:r>
      <w:r w:rsidR="00350B7D">
        <w:t>-</w:t>
      </w:r>
      <w:r w:rsidR="001B7F00">
        <w:t>C et ACS, et, partant, améliorer sensiblement le taux de recours.</w:t>
      </w:r>
    </w:p>
    <w:p w14:paraId="290D9860" w14:textId="7694E709" w:rsidR="001B7F00" w:rsidRDefault="001B7F00" w:rsidP="001B7F00">
      <w:pPr>
        <w:pStyle w:val="Corpsdetexte"/>
      </w:pPr>
      <w:r>
        <w:t>Au regard des gisements d’économie évalués par le SGMAP en 2013</w:t>
      </w:r>
      <w:r w:rsidR="00CC354E">
        <w:t xml:space="preserve">, du </w:t>
      </w:r>
      <w:r w:rsidR="00A91DEF">
        <w:t>rééquilibrage</w:t>
      </w:r>
      <w:r w:rsidR="00CC354E">
        <w:t xml:space="preserve"> des comptes de la sécurité sociale en cours</w:t>
      </w:r>
      <w:r>
        <w:t xml:space="preserve"> et des objectifs portés par la Stratégie nationale de santé, les rapporteurs recommandent de priv</w:t>
      </w:r>
      <w:r>
        <w:t>i</w:t>
      </w:r>
      <w:r>
        <w:t xml:space="preserve">légier un scénario ambitieux. </w:t>
      </w:r>
    </w:p>
    <w:p w14:paraId="099B6283" w14:textId="46C7CF72" w:rsidR="00BB24F1" w:rsidRPr="001B7F00" w:rsidRDefault="00BB24F1" w:rsidP="00BB24F1">
      <w:pPr>
        <w:pStyle w:val="Lgende"/>
      </w:pPr>
      <w:r>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1</w:t>
      </w:r>
      <w:r w:rsidR="00AF653A">
        <w:rPr>
          <w:noProof/>
        </w:rPr>
        <w:fldChar w:fldCharType="end"/>
      </w:r>
      <w:r>
        <w:t xml:space="preserve"> - </w:t>
      </w:r>
      <w:r w:rsidRPr="00BB24F1">
        <w:t>Évolution du reste à payer sur les primes des contrats ACS (reste à charge sur les prix) couvrant une personne (situation au 31 décembre 2016)</w:t>
      </w:r>
    </w:p>
    <w:p w14:paraId="291EE195" w14:textId="77777777" w:rsidR="00B443F8" w:rsidRDefault="00BB24F1" w:rsidP="00B443F8">
      <w:pPr>
        <w:pStyle w:val="Corpsdetexte"/>
      </w:pPr>
      <w:r w:rsidRPr="005338B5">
        <w:rPr>
          <w:noProof/>
          <w:lang w:eastAsia="fr-FR"/>
        </w:rPr>
        <w:drawing>
          <wp:inline distT="0" distB="0" distL="0" distR="0" wp14:anchorId="5207998D" wp14:editId="089A8E44">
            <wp:extent cx="5564588" cy="21050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7200" cy="2106013"/>
                    </a:xfrm>
                    <a:prstGeom prst="rect">
                      <a:avLst/>
                    </a:prstGeom>
                    <a:noFill/>
                    <a:ln>
                      <a:noFill/>
                    </a:ln>
                  </pic:spPr>
                </pic:pic>
              </a:graphicData>
            </a:graphic>
          </wp:inline>
        </w:drawing>
      </w:r>
    </w:p>
    <w:p w14:paraId="20C0C821" w14:textId="26C20418" w:rsidR="00550CA1" w:rsidRDefault="00550CA1" w:rsidP="00550CA1">
      <w:pPr>
        <w:pStyle w:val="Sources"/>
      </w:pPr>
      <w:r w:rsidRPr="00550CA1">
        <w:t>Source : 11 groupements gestionnaires de l’ACS (Enquête annuelle sur l’ACS 2017)</w:t>
      </w:r>
    </w:p>
    <w:p w14:paraId="381528B5" w14:textId="77777777" w:rsidR="00380F58" w:rsidRDefault="00380F58" w:rsidP="008D090E">
      <w:pPr>
        <w:rPr>
          <w:b/>
          <w:color w:val="000000"/>
        </w:rPr>
      </w:pPr>
    </w:p>
    <w:p w14:paraId="52BE9018" w14:textId="4FB39983" w:rsidR="008D090E" w:rsidRPr="00102EAF" w:rsidRDefault="008D090E" w:rsidP="008D090E">
      <w:pPr>
        <w:rPr>
          <w:b/>
          <w:color w:val="000000"/>
        </w:rPr>
      </w:pPr>
      <w:r w:rsidRPr="00102EAF">
        <w:rPr>
          <w:b/>
          <w:color w:val="000000"/>
        </w:rPr>
        <w:t>L’opposabilité des tarifs n’est pas toujours appliquée aux bénéficiaires de l’ACS par les médecins</w:t>
      </w:r>
    </w:p>
    <w:p w14:paraId="2A4D2C21" w14:textId="77777777" w:rsidR="00380F58" w:rsidRDefault="00380F58" w:rsidP="008D090E">
      <w:pPr>
        <w:jc w:val="both"/>
        <w:rPr>
          <w:color w:val="000000"/>
        </w:rPr>
      </w:pPr>
    </w:p>
    <w:p w14:paraId="73AACEFE" w14:textId="0D8ABBD5" w:rsidR="008D090E" w:rsidRPr="00527E0D" w:rsidRDefault="008D090E" w:rsidP="00181084">
      <w:pPr>
        <w:ind w:firstLine="284"/>
        <w:jc w:val="both"/>
        <w:rPr>
          <w:color w:val="000000"/>
        </w:rPr>
      </w:pPr>
      <w:r>
        <w:rPr>
          <w:color w:val="000000"/>
        </w:rPr>
        <w:t xml:space="preserve">Les bénéficiaires d’attestations ACS ne peuvent </w:t>
      </w:r>
      <w:r w:rsidR="00380F58">
        <w:rPr>
          <w:color w:val="000000"/>
        </w:rPr>
        <w:t xml:space="preserve">théoriquement </w:t>
      </w:r>
      <w:r w:rsidR="006E7698">
        <w:rPr>
          <w:color w:val="000000"/>
        </w:rPr>
        <w:t xml:space="preserve">pas </w:t>
      </w:r>
      <w:r>
        <w:rPr>
          <w:color w:val="000000"/>
        </w:rPr>
        <w:t>se voir appliquer des dépassements d’honoraires par les médecins</w:t>
      </w:r>
      <w:r w:rsidR="00380F58">
        <w:rPr>
          <w:rStyle w:val="Appelnotedebasdep"/>
          <w:color w:val="000000"/>
        </w:rPr>
        <w:footnoteReference w:id="35"/>
      </w:r>
      <w:r w:rsidR="00380F58">
        <w:rPr>
          <w:color w:val="000000"/>
        </w:rPr>
        <w:t>,</w:t>
      </w:r>
      <w:r>
        <w:rPr>
          <w:color w:val="000000"/>
        </w:rPr>
        <w:t xml:space="preserve"> qu</w:t>
      </w:r>
      <w:r w:rsidR="00380F58">
        <w:rPr>
          <w:color w:val="000000"/>
        </w:rPr>
        <w:t>e ces derniers</w:t>
      </w:r>
      <w:r>
        <w:rPr>
          <w:color w:val="000000"/>
        </w:rPr>
        <w:t xml:space="preserve"> exercent en ville ou à l’hôpital et quel que soit leur secteur d’exercice (secteur 1 ou secteur 2). </w:t>
      </w:r>
    </w:p>
    <w:p w14:paraId="461AE3C0" w14:textId="21E8FDCF" w:rsidR="008D090E" w:rsidRDefault="004A046E" w:rsidP="006A59E9">
      <w:pPr>
        <w:jc w:val="both"/>
        <w:rPr>
          <w:color w:val="000000"/>
        </w:rPr>
      </w:pPr>
      <w:r>
        <w:rPr>
          <w:color w:val="000000"/>
        </w:rPr>
        <w:t>Selon les données transmises</w:t>
      </w:r>
      <w:r w:rsidR="008D090E">
        <w:rPr>
          <w:color w:val="000000"/>
        </w:rPr>
        <w:t xml:space="preserve"> par la CNAM</w:t>
      </w:r>
      <w:r>
        <w:rPr>
          <w:color w:val="000000"/>
        </w:rPr>
        <w:t xml:space="preserve">, </w:t>
      </w:r>
      <w:r w:rsidR="008D090E">
        <w:rPr>
          <w:color w:val="000000"/>
        </w:rPr>
        <w:t>l</w:t>
      </w:r>
      <w:r>
        <w:rPr>
          <w:color w:val="000000"/>
        </w:rPr>
        <w:t>a très grande majorité des</w:t>
      </w:r>
      <w:r w:rsidR="008D090E">
        <w:rPr>
          <w:color w:val="000000"/>
        </w:rPr>
        <w:t xml:space="preserve"> médecins exerçant en secteur 1 appliquent la convention</w:t>
      </w:r>
      <w:r w:rsidR="00091601">
        <w:rPr>
          <w:rStyle w:val="Appelnotedebasdep"/>
          <w:color w:val="000000"/>
        </w:rPr>
        <w:footnoteReference w:id="36"/>
      </w:r>
      <w:r w:rsidR="00B719D0">
        <w:rPr>
          <w:color w:val="000000"/>
        </w:rPr>
        <w:t xml:space="preserve">. </w:t>
      </w:r>
      <w:r w:rsidR="008D090E">
        <w:rPr>
          <w:color w:val="000000"/>
        </w:rPr>
        <w:t xml:space="preserve">En revanche, </w:t>
      </w:r>
      <w:r w:rsidR="006A59E9">
        <w:rPr>
          <w:color w:val="000000"/>
        </w:rPr>
        <w:t>une part importante de</w:t>
      </w:r>
      <w:r w:rsidR="008D090E">
        <w:rPr>
          <w:color w:val="000000"/>
        </w:rPr>
        <w:t>s médecins exerçant en secteur 2 </w:t>
      </w:r>
      <w:r w:rsidR="006A59E9">
        <w:rPr>
          <w:color w:val="000000"/>
        </w:rPr>
        <w:t>ne respecte pas l’opposabilité des tarifs</w:t>
      </w:r>
      <w:r w:rsidR="006A59E9">
        <w:rPr>
          <w:rStyle w:val="Appelnotedebasdep"/>
          <w:color w:val="000000"/>
        </w:rPr>
        <w:footnoteReference w:id="37"/>
      </w:r>
      <w:r w:rsidR="006A59E9">
        <w:rPr>
          <w:color w:val="000000"/>
        </w:rPr>
        <w:t>, ce qui induit des restes à charge important</w:t>
      </w:r>
      <w:r w:rsidR="00015F2A">
        <w:rPr>
          <w:color w:val="000000"/>
        </w:rPr>
        <w:t>s</w:t>
      </w:r>
      <w:r w:rsidR="006A59E9">
        <w:rPr>
          <w:color w:val="000000"/>
        </w:rPr>
        <w:t xml:space="preserve"> pour les assurés concernés</w:t>
      </w:r>
      <w:r w:rsidR="00015F2A">
        <w:rPr>
          <w:color w:val="000000"/>
        </w:rPr>
        <w:t xml:space="preserve"> </w:t>
      </w:r>
      <w:r w:rsidR="00FD28E8">
        <w:rPr>
          <w:color w:val="000000"/>
        </w:rPr>
        <w:t>ou du renonc</w:t>
      </w:r>
      <w:r w:rsidR="00FD28E8">
        <w:rPr>
          <w:color w:val="000000"/>
        </w:rPr>
        <w:t>e</w:t>
      </w:r>
      <w:r w:rsidR="00FD28E8">
        <w:rPr>
          <w:color w:val="000000"/>
        </w:rPr>
        <w:t xml:space="preserve">ment aux soins </w:t>
      </w:r>
      <w:r w:rsidR="00015F2A">
        <w:rPr>
          <w:color w:val="000000"/>
        </w:rPr>
        <w:t>-</w:t>
      </w:r>
      <w:r w:rsidR="008D090E">
        <w:rPr>
          <w:color w:val="000000"/>
        </w:rPr>
        <w:t xml:space="preserve"> les contrats ACS ne p</w:t>
      </w:r>
      <w:r w:rsidR="006A59E9">
        <w:rPr>
          <w:color w:val="000000"/>
        </w:rPr>
        <w:t>renant en charge</w:t>
      </w:r>
      <w:r w:rsidR="008D090E">
        <w:rPr>
          <w:color w:val="000000"/>
        </w:rPr>
        <w:t xml:space="preserve"> aucun remboursement de dépassement d’honoraires.</w:t>
      </w:r>
    </w:p>
    <w:p w14:paraId="7C23CA9B" w14:textId="6B63F9D7" w:rsidR="008D090E" w:rsidRDefault="008D090E" w:rsidP="008D090E">
      <w:pPr>
        <w:pStyle w:val="Corpsdetexte"/>
        <w:rPr>
          <w:lang w:eastAsia="fr-FR"/>
        </w:rPr>
      </w:pPr>
    </w:p>
    <w:p w14:paraId="48935397" w14:textId="2DC34E52" w:rsidR="00380F58" w:rsidRPr="001B7F00" w:rsidRDefault="00380F58" w:rsidP="00380F58">
      <w:pPr>
        <w:pStyle w:val="EncadreCorpsdeTexte"/>
      </w:pPr>
      <w:r w:rsidRPr="00AD0F78">
        <w:lastRenderedPageBreak/>
        <w:t>Proposition n°1</w:t>
      </w:r>
      <w:r w:rsidR="00422705" w:rsidRPr="00AD0F78">
        <w:t>3</w:t>
      </w:r>
      <w:r w:rsidRPr="00AD0F78">
        <w:t xml:space="preserve"> – Veiller à mieux faire respecter l’opposabilité des tarifs</w:t>
      </w:r>
      <w:r w:rsidRPr="001B7F00">
        <w:t xml:space="preserve"> </w:t>
      </w:r>
      <w:r w:rsidR="006A59E9">
        <w:t>par les médecins exerçant en se</w:t>
      </w:r>
      <w:r w:rsidR="006A59E9">
        <w:t>c</w:t>
      </w:r>
      <w:r w:rsidR="006A59E9">
        <w:t>teur 2.</w:t>
      </w:r>
    </w:p>
    <w:p w14:paraId="5B738E0E" w14:textId="77777777" w:rsidR="00380F58" w:rsidRPr="00B0569A" w:rsidRDefault="00380F58" w:rsidP="00DF53E5">
      <w:pPr>
        <w:pStyle w:val="Corpsdetexte"/>
      </w:pPr>
    </w:p>
    <w:p w14:paraId="1ECA59E8" w14:textId="77777777" w:rsidR="00550CA1" w:rsidRPr="00550CA1" w:rsidRDefault="00550CA1" w:rsidP="00550CA1">
      <w:pPr>
        <w:pStyle w:val="Titre5"/>
      </w:pPr>
      <w:r w:rsidRPr="00550CA1">
        <w:t>Renforcer le panier de soins couvert par la CMU-C</w:t>
      </w:r>
    </w:p>
    <w:p w14:paraId="53E7CA6F" w14:textId="77777777" w:rsidR="00550CA1" w:rsidRPr="00550CA1" w:rsidRDefault="00550CA1" w:rsidP="00550CA1">
      <w:pPr>
        <w:pStyle w:val="Corpsdetexte"/>
        <w:rPr>
          <w:lang w:eastAsia="fr-FR"/>
        </w:rPr>
      </w:pPr>
      <w:r w:rsidRPr="00550CA1">
        <w:rPr>
          <w:lang w:eastAsia="fr-FR"/>
        </w:rPr>
        <w:t>Même si la CMU-C constitue une couverture de qualité, certaines garanties peuvent encore être améliorées, n</w:t>
      </w:r>
      <w:r w:rsidRPr="00550CA1">
        <w:rPr>
          <w:lang w:eastAsia="fr-FR"/>
        </w:rPr>
        <w:t>o</w:t>
      </w:r>
      <w:r w:rsidRPr="00550CA1">
        <w:rPr>
          <w:lang w:eastAsia="fr-FR"/>
        </w:rPr>
        <w:t>tamment en articulation avec la mise en place du panier « 100% Santé ».</w:t>
      </w:r>
    </w:p>
    <w:p w14:paraId="7E4DE427" w14:textId="59709F20" w:rsidR="00550CA1" w:rsidRPr="00550CA1" w:rsidRDefault="00D65432" w:rsidP="00550CA1">
      <w:pPr>
        <w:pStyle w:val="Titre7"/>
      </w:pPr>
      <w:r>
        <w:t>Intégrer dans</w:t>
      </w:r>
      <w:r w:rsidRPr="00550CA1">
        <w:t xml:space="preserve"> </w:t>
      </w:r>
      <w:r w:rsidR="00550CA1" w:rsidRPr="00550CA1">
        <w:t>le panier de soins CMU-C le</w:t>
      </w:r>
      <w:r>
        <w:t xml:space="preserve"> contenu du </w:t>
      </w:r>
      <w:r w:rsidR="00550CA1" w:rsidRPr="00550CA1">
        <w:t xml:space="preserve">panier du </w:t>
      </w:r>
      <w:r>
        <w:t>« </w:t>
      </w:r>
      <w:r w:rsidR="00550CA1" w:rsidRPr="00550CA1">
        <w:t>100% Santé</w:t>
      </w:r>
      <w:r>
        <w:t> »</w:t>
      </w:r>
    </w:p>
    <w:p w14:paraId="0D36B896" w14:textId="77777777" w:rsidR="00550CA1" w:rsidRPr="00550CA1" w:rsidRDefault="00550CA1" w:rsidP="00181084">
      <w:pPr>
        <w:pStyle w:val="Corpsdetexte"/>
        <w:ind w:firstLine="284"/>
        <w:rPr>
          <w:lang w:eastAsia="fr-FR"/>
        </w:rPr>
      </w:pPr>
      <w:r w:rsidRPr="00550CA1">
        <w:rPr>
          <w:lang w:eastAsia="fr-FR"/>
        </w:rPr>
        <w:t>Aujourd’hui, les bénéficiaires de la CMU-C peuvent s’équiper en optique et en audioprothèse sans frais su</w:t>
      </w:r>
      <w:r w:rsidRPr="00550CA1">
        <w:rPr>
          <w:lang w:eastAsia="fr-FR"/>
        </w:rPr>
        <w:t>p</w:t>
      </w:r>
      <w:r w:rsidRPr="00550CA1">
        <w:rPr>
          <w:lang w:eastAsia="fr-FR"/>
        </w:rPr>
        <w:t>plémentaires. Néanmoins les équipements pris en charge correspondent à des dispositifs d’entrée de gamme et les éventuelles options ou équipements alternatifs demandées par les bénéficiaires sont à leur charge.</w:t>
      </w:r>
    </w:p>
    <w:p w14:paraId="07541542" w14:textId="31848AF5" w:rsidR="00550CA1" w:rsidRPr="00550CA1" w:rsidRDefault="00550CA1" w:rsidP="00181084">
      <w:pPr>
        <w:pStyle w:val="Corpsdetexte"/>
        <w:ind w:firstLine="284"/>
        <w:rPr>
          <w:lang w:eastAsia="fr-FR"/>
        </w:rPr>
      </w:pPr>
      <w:r w:rsidRPr="00550CA1">
        <w:rPr>
          <w:lang w:eastAsia="fr-FR"/>
        </w:rPr>
        <w:t>La réforme du « 100% Santé » a conduit à définir des paniers de soins standards ne laissant aucun reste à charge après intervention des assurances maladie obligatoire et complémentaire. Par mesure d’équité, il convie</w:t>
      </w:r>
      <w:r w:rsidRPr="00550CA1">
        <w:rPr>
          <w:lang w:eastAsia="fr-FR"/>
        </w:rPr>
        <w:t>n</w:t>
      </w:r>
      <w:r w:rsidRPr="00550CA1">
        <w:rPr>
          <w:lang w:eastAsia="fr-FR"/>
        </w:rPr>
        <w:t xml:space="preserve">drait d’inclure dans le panier CMU-C les dispositifs retenus pour le panier « 100% Santé » et d’aligner les forfaits CMU-C aux </w:t>
      </w:r>
      <w:r w:rsidR="00D65432">
        <w:rPr>
          <w:lang w:eastAsia="fr-FR"/>
        </w:rPr>
        <w:t>PLV</w:t>
      </w:r>
      <w:r w:rsidRPr="00550CA1">
        <w:rPr>
          <w:lang w:eastAsia="fr-FR"/>
        </w:rPr>
        <w:t xml:space="preserve"> fixés </w:t>
      </w:r>
      <w:r w:rsidR="002B6283">
        <w:rPr>
          <w:lang w:eastAsia="fr-FR"/>
        </w:rPr>
        <w:t>dans le cadre de cette réforme.</w:t>
      </w:r>
    </w:p>
    <w:p w14:paraId="3FC03262" w14:textId="782246FD" w:rsidR="00550CA1" w:rsidRPr="00550CA1" w:rsidRDefault="00550CA1" w:rsidP="00181084">
      <w:pPr>
        <w:pStyle w:val="Corpsdetexte"/>
        <w:ind w:firstLine="284"/>
        <w:rPr>
          <w:lang w:eastAsia="fr-FR"/>
        </w:rPr>
      </w:pPr>
      <w:r w:rsidRPr="00550CA1">
        <w:rPr>
          <w:lang w:eastAsia="fr-FR"/>
        </w:rPr>
        <w:t xml:space="preserve">Ainsi, les bénéficiaires de la CMU-C pourraient obtenir des audioprothèses de qualité supérieure sans avoir à payer davantage. Pour l’optique, ils pourraient bénéficier de verres amincis avec durcissement pour éviter les rayures et traitement </w:t>
      </w:r>
      <w:r w:rsidR="00A91DEF" w:rsidRPr="00550CA1">
        <w:rPr>
          <w:lang w:eastAsia="fr-FR"/>
        </w:rPr>
        <w:t>antireflet</w:t>
      </w:r>
      <w:r w:rsidRPr="00550CA1">
        <w:rPr>
          <w:lang w:eastAsia="fr-FR"/>
        </w:rPr>
        <w:t xml:space="preserve"> qui seraient intégralement pris en charge par la CMU-C, ce qu</w:t>
      </w:r>
      <w:r w:rsidR="002B6283">
        <w:rPr>
          <w:lang w:eastAsia="fr-FR"/>
        </w:rPr>
        <w:t>i n’est pas le cas a</w:t>
      </w:r>
      <w:r w:rsidR="002B6283">
        <w:rPr>
          <w:lang w:eastAsia="fr-FR"/>
        </w:rPr>
        <w:t>u</w:t>
      </w:r>
      <w:r w:rsidR="002B6283">
        <w:rPr>
          <w:lang w:eastAsia="fr-FR"/>
        </w:rPr>
        <w:t>jourd’hui.</w:t>
      </w:r>
    </w:p>
    <w:p w14:paraId="4B59B64A" w14:textId="0883BA04" w:rsidR="00550CA1" w:rsidRPr="00550CA1" w:rsidRDefault="00550CA1" w:rsidP="00550CA1">
      <w:pPr>
        <w:pStyle w:val="Corpsdetexte"/>
        <w:rPr>
          <w:lang w:eastAsia="fr-FR"/>
        </w:rPr>
      </w:pPr>
      <w:r w:rsidRPr="00550CA1">
        <w:rPr>
          <w:lang w:eastAsia="fr-FR"/>
        </w:rPr>
        <w:t xml:space="preserve">Pour les soins prothétiques dentaires, le panier de soins CMU-C défini avant la réforme du « 100% Santé » devra être adapté par rapport aux paniers définis dans la dernière convention des chirurgiens-dentistes, en particulier le panier </w:t>
      </w:r>
      <w:r w:rsidR="00A54B39">
        <w:rPr>
          <w:lang w:eastAsia="fr-FR"/>
        </w:rPr>
        <w:t>« </w:t>
      </w:r>
      <w:r w:rsidRPr="00550CA1">
        <w:rPr>
          <w:lang w:eastAsia="fr-FR"/>
        </w:rPr>
        <w:t>100% Santé</w:t>
      </w:r>
      <w:r w:rsidR="00A54B39">
        <w:rPr>
          <w:lang w:eastAsia="fr-FR"/>
        </w:rPr>
        <w:t> »</w:t>
      </w:r>
      <w:r w:rsidRPr="00550CA1">
        <w:rPr>
          <w:lang w:eastAsia="fr-FR"/>
        </w:rPr>
        <w:t xml:space="preserve"> et l</w:t>
      </w:r>
      <w:r w:rsidR="002B6283">
        <w:rPr>
          <w:lang w:eastAsia="fr-FR"/>
        </w:rPr>
        <w:t xml:space="preserve">e panier aux tarifs maîtrisés. </w:t>
      </w:r>
    </w:p>
    <w:p w14:paraId="4BB302CF" w14:textId="0BBF106A" w:rsidR="00550CA1" w:rsidRPr="00550CA1" w:rsidRDefault="00550CA1" w:rsidP="002B6283">
      <w:pPr>
        <w:pStyle w:val="EncadreCorpsdeTexte"/>
      </w:pPr>
      <w:r w:rsidRPr="00550CA1">
        <w:t>Proposition n°1</w:t>
      </w:r>
      <w:r w:rsidR="00422705">
        <w:t>4</w:t>
      </w:r>
      <w:r w:rsidRPr="00550CA1">
        <w:t xml:space="preserve"> – A</w:t>
      </w:r>
      <w:r w:rsidR="00093B0A">
        <w:t>ligner la qualité du panier de soins CMU</w:t>
      </w:r>
      <w:r w:rsidR="00093B0A">
        <w:noBreakHyphen/>
        <w:t xml:space="preserve">C (optique, audiologie et de soins prothétiques dentaires) </w:t>
      </w:r>
      <w:r w:rsidRPr="00550CA1">
        <w:t xml:space="preserve">sur le panier </w:t>
      </w:r>
      <w:r w:rsidR="00093B0A">
        <w:t>« </w:t>
      </w:r>
      <w:r w:rsidR="00093B0A" w:rsidRPr="00550CA1">
        <w:t>100% Santé</w:t>
      </w:r>
      <w:r w:rsidR="00093B0A">
        <w:t> »</w:t>
      </w:r>
      <w:r w:rsidR="00093B0A" w:rsidRPr="00550CA1">
        <w:t xml:space="preserve"> </w:t>
      </w:r>
      <w:r w:rsidR="00093B0A">
        <w:t>à reste</w:t>
      </w:r>
      <w:r w:rsidR="00D65432">
        <w:t xml:space="preserve"> </w:t>
      </w:r>
      <w:r w:rsidR="00093B0A">
        <w:t>à</w:t>
      </w:r>
      <w:r w:rsidR="00D65432">
        <w:t xml:space="preserve"> </w:t>
      </w:r>
      <w:r w:rsidR="00093B0A">
        <w:t>charge nul</w:t>
      </w:r>
    </w:p>
    <w:p w14:paraId="2D7F9571" w14:textId="77777777" w:rsidR="00550CA1" w:rsidRPr="00550CA1" w:rsidRDefault="00550CA1" w:rsidP="00550CA1">
      <w:pPr>
        <w:pStyle w:val="Titre7"/>
      </w:pPr>
      <w:r w:rsidRPr="00550CA1">
        <w:t xml:space="preserve">Améliorer la prise en charge des dispositifs médicaux et réduire leur coût </w:t>
      </w:r>
    </w:p>
    <w:p w14:paraId="1294EC84" w14:textId="08D3947F" w:rsidR="00550CA1" w:rsidRPr="00550CA1" w:rsidRDefault="00550CA1" w:rsidP="00181084">
      <w:pPr>
        <w:pStyle w:val="Corpsdetexte"/>
        <w:ind w:firstLine="284"/>
        <w:rPr>
          <w:lang w:eastAsia="fr-FR"/>
        </w:rPr>
      </w:pPr>
      <w:r w:rsidRPr="00550CA1">
        <w:rPr>
          <w:lang w:eastAsia="fr-FR"/>
        </w:rPr>
        <w:t>Pour la CMU-C, plusieurs appareillages sont soumis à des prix maximums (PLV</w:t>
      </w:r>
      <w:r w:rsidR="00A54B39">
        <w:rPr>
          <w:lang w:eastAsia="fr-FR"/>
        </w:rPr>
        <w:t xml:space="preserve">) </w:t>
      </w:r>
      <w:r w:rsidRPr="00550CA1">
        <w:rPr>
          <w:lang w:eastAsia="fr-FR"/>
        </w:rPr>
        <w:t>fixés dans l’arrêté du 14 août 2002 et n’engendrent normalement pas de reste à charge. Ces prix maximums ont été mis en place pour des disp</w:t>
      </w:r>
      <w:r w:rsidRPr="00550CA1">
        <w:rPr>
          <w:lang w:eastAsia="fr-FR"/>
        </w:rPr>
        <w:t>o</w:t>
      </w:r>
      <w:r w:rsidRPr="00550CA1">
        <w:rPr>
          <w:lang w:eastAsia="fr-FR"/>
        </w:rPr>
        <w:t>sitifs médicaux sans PLV inscrits dans la LPP afin de limiter le reste à charge des bénéficiaires CMU-C.</w:t>
      </w:r>
    </w:p>
    <w:p w14:paraId="6629FF10" w14:textId="77777777" w:rsidR="00550CA1" w:rsidRPr="00550CA1" w:rsidRDefault="00550CA1" w:rsidP="00550CA1">
      <w:pPr>
        <w:pStyle w:val="Corpsdetexte"/>
        <w:rPr>
          <w:lang w:eastAsia="fr-FR"/>
        </w:rPr>
      </w:pPr>
      <w:r w:rsidRPr="00550CA1">
        <w:rPr>
          <w:lang w:eastAsia="fr-FR"/>
        </w:rPr>
        <w:t>Il reste néanmoins plusieurs dispositifs pour lesquels les tarifs sont libres, sans prix plafonds pour les bénéficiaires de la CMU-C. Les exemples sont nombreux ; parmi eux peuvent être c</w:t>
      </w:r>
      <w:r w:rsidR="002B6283">
        <w:rPr>
          <w:lang w:eastAsia="fr-FR"/>
        </w:rPr>
        <w:t>ités les dispositifs suivants :</w:t>
      </w:r>
    </w:p>
    <w:p w14:paraId="742AE426" w14:textId="37861617" w:rsidR="00550CA1" w:rsidRPr="00550CA1" w:rsidRDefault="00550CA1" w:rsidP="002B6283">
      <w:pPr>
        <w:pStyle w:val="Listecontinue"/>
      </w:pPr>
      <w:r w:rsidRPr="00550CA1">
        <w:t xml:space="preserve">Les semelles orthopédiques sont des dispositifs médicaux sans PLV auxquels les bénéficiaires de la CMU-C ont </w:t>
      </w:r>
      <w:r w:rsidR="00D65432">
        <w:t xml:space="preserve">le </w:t>
      </w:r>
      <w:r w:rsidRPr="00550CA1">
        <w:t xml:space="preserve">plus recours. Parmi ces bénéficiaires (hors AAH et invalidité), 92,2% ont un dépassement à leur </w:t>
      </w:r>
      <w:r w:rsidR="002B6283">
        <w:t>charge, en moyenne égal à 144</w:t>
      </w:r>
      <w:r w:rsidR="009C3ADC">
        <w:t xml:space="preserve"> euros</w:t>
      </w:r>
      <w:r w:rsidR="002B6283">
        <w:t>.</w:t>
      </w:r>
    </w:p>
    <w:p w14:paraId="2C7F6FC1" w14:textId="5B3D784D" w:rsidR="00550CA1" w:rsidRPr="00550CA1" w:rsidRDefault="00550CA1" w:rsidP="002B6283">
      <w:pPr>
        <w:pStyle w:val="Listecontinue"/>
      </w:pPr>
      <w:r w:rsidRPr="00550CA1">
        <w:t>Les postiches engendrent également d’importants restes à charge. Parmi les bénéficiaires de la CMU-C (hors AAH et invalidité) qui en ont eu besoin en 2016, 86% ont dû payer un dépasseme</w:t>
      </w:r>
      <w:r w:rsidR="002B6283">
        <w:t>nt s’élevant en moyenne à 350</w:t>
      </w:r>
      <w:r w:rsidR="009C3ADC">
        <w:t xml:space="preserve"> euros</w:t>
      </w:r>
      <w:r w:rsidR="002B6283">
        <w:t>.</w:t>
      </w:r>
    </w:p>
    <w:p w14:paraId="2FEF12F6" w14:textId="20A61471" w:rsidR="00550CA1" w:rsidRPr="00550CA1" w:rsidRDefault="00550CA1" w:rsidP="00550CA1">
      <w:pPr>
        <w:pStyle w:val="Listecontinue"/>
      </w:pPr>
      <w:r w:rsidRPr="00550CA1">
        <w:t>90,2% des bénéficiaires de la CMU-C (hors AAH et invalidité) qui utilisent des nutriments pour supplémentation orale ont des restes à charge s’</w:t>
      </w:r>
      <w:r w:rsidR="002B6283">
        <w:t>établissant en moyenne à 136 </w:t>
      </w:r>
      <w:r w:rsidR="009C3ADC">
        <w:t>euros</w:t>
      </w:r>
      <w:r w:rsidR="002B6283">
        <w:t>.</w:t>
      </w:r>
    </w:p>
    <w:p w14:paraId="01B724AA" w14:textId="73AD7CE8" w:rsidR="00550CA1" w:rsidRDefault="00550CA1" w:rsidP="00550CA1">
      <w:pPr>
        <w:pStyle w:val="Corpsdetexte"/>
        <w:rPr>
          <w:lang w:eastAsia="fr-FR"/>
        </w:rPr>
      </w:pPr>
      <w:r w:rsidRPr="00550CA1">
        <w:rPr>
          <w:lang w:eastAsia="fr-FR"/>
        </w:rPr>
        <w:t>Les résultats sont du même ordre de grandeur pour l’ACS (hors AAH et invalidité). L’analyse détaillée des conso</w:t>
      </w:r>
      <w:r w:rsidRPr="00550CA1">
        <w:rPr>
          <w:lang w:eastAsia="fr-FR"/>
        </w:rPr>
        <w:t>m</w:t>
      </w:r>
      <w:r w:rsidRPr="00550CA1">
        <w:rPr>
          <w:lang w:eastAsia="fr-FR"/>
        </w:rPr>
        <w:t>mations des dispositifs médicaux présentant les dépassements selon différentes populations (CMU-C, ACS, AAH / inval</w:t>
      </w:r>
      <w:r w:rsidR="003412E1">
        <w:rPr>
          <w:lang w:eastAsia="fr-FR"/>
        </w:rPr>
        <w:t>idité) est présentée en annexe 12</w:t>
      </w:r>
      <w:r w:rsidRPr="00550CA1">
        <w:rPr>
          <w:lang w:eastAsia="fr-FR"/>
        </w:rPr>
        <w:t>.</w:t>
      </w:r>
    </w:p>
    <w:p w14:paraId="6A063132" w14:textId="285ABBFB" w:rsidR="00550CA1" w:rsidRPr="00550CA1" w:rsidRDefault="00550CA1" w:rsidP="002B6283">
      <w:pPr>
        <w:pStyle w:val="EncadreCorpsdeTexte"/>
      </w:pPr>
      <w:r w:rsidRPr="00550CA1">
        <w:lastRenderedPageBreak/>
        <w:t>Proposition n°1</w:t>
      </w:r>
      <w:r w:rsidR="00422705">
        <w:t>5</w:t>
      </w:r>
      <w:r w:rsidRPr="00550CA1">
        <w:t xml:space="preserve"> – </w:t>
      </w:r>
      <w:r w:rsidR="00D65432">
        <w:t>R</w:t>
      </w:r>
      <w:r w:rsidRPr="00550CA1">
        <w:t>evoir la prise en charge des dispositifs médicaux par la CMU-C</w:t>
      </w:r>
      <w:r w:rsidR="00271C32">
        <w:t xml:space="preserve"> </w:t>
      </w:r>
      <w:r w:rsidR="00246587">
        <w:t xml:space="preserve">et l’ACS </w:t>
      </w:r>
      <w:r w:rsidR="00271C32">
        <w:t>afin de réduire les restes</w:t>
      </w:r>
      <w:r w:rsidR="00D65432">
        <w:t xml:space="preserve"> </w:t>
      </w:r>
      <w:r w:rsidR="00271C32">
        <w:t>à</w:t>
      </w:r>
      <w:r w:rsidR="00D65432">
        <w:t xml:space="preserve"> </w:t>
      </w:r>
      <w:r w:rsidR="00271C32">
        <w:t>charge</w:t>
      </w:r>
      <w:r w:rsidR="00023ECD">
        <w:t>, en particulier pour les bénéficiaires de l’AAH</w:t>
      </w:r>
      <w:r w:rsidR="00D948B7">
        <w:t xml:space="preserve"> </w:t>
      </w:r>
      <w:r w:rsidR="00271C32">
        <w:t>; harmoniser les restes</w:t>
      </w:r>
      <w:r w:rsidR="00D65432">
        <w:t xml:space="preserve"> </w:t>
      </w:r>
      <w:r w:rsidR="00271C32">
        <w:t>à</w:t>
      </w:r>
      <w:r w:rsidR="00D65432">
        <w:t xml:space="preserve"> </w:t>
      </w:r>
      <w:r w:rsidR="00271C32">
        <w:t>charge pour les différents bénéficiaires</w:t>
      </w:r>
      <w:r w:rsidR="00D65432">
        <w:t>.</w:t>
      </w:r>
      <w:r w:rsidR="00271C32">
        <w:t xml:space="preserve">  </w:t>
      </w:r>
      <w:r w:rsidRPr="00550CA1">
        <w:t xml:space="preserve"> </w:t>
      </w:r>
    </w:p>
    <w:p w14:paraId="0A9A4826" w14:textId="77777777" w:rsidR="00550CA1" w:rsidRPr="00550CA1" w:rsidRDefault="00550CA1" w:rsidP="00550CA1">
      <w:pPr>
        <w:pStyle w:val="Corpsdetexte"/>
        <w:rPr>
          <w:lang w:eastAsia="fr-FR"/>
        </w:rPr>
      </w:pPr>
      <w:r w:rsidRPr="00550CA1">
        <w:rPr>
          <w:lang w:eastAsia="fr-FR"/>
        </w:rPr>
        <w:t>Ce travail est d’autant plus nécessaire que le panier de dispositifs avec prix plafonds spécifiques pour la CMU-C a été défini en 2002 et que l’inscription sur la LPP de plusieurs de ces dispositifs a été revue depuis, avec notamment l’introduction de PLV qui ne correspondent pas for</w:t>
      </w:r>
      <w:r w:rsidR="002B6283">
        <w:rPr>
          <w:lang w:eastAsia="fr-FR"/>
        </w:rPr>
        <w:t>cément aux prix plafonds CMU-C.</w:t>
      </w:r>
    </w:p>
    <w:p w14:paraId="5BCEA362" w14:textId="77777777" w:rsidR="00550CA1" w:rsidRPr="00550CA1" w:rsidRDefault="00550CA1" w:rsidP="00550CA1">
      <w:pPr>
        <w:pStyle w:val="Corpsdetexte"/>
        <w:rPr>
          <w:lang w:eastAsia="fr-FR"/>
        </w:rPr>
      </w:pPr>
      <w:r w:rsidRPr="00550CA1">
        <w:rPr>
          <w:lang w:eastAsia="fr-FR"/>
        </w:rPr>
        <w:t>En outre, il convient de mettre en place un système de contrôle permettant de garantir l’application des prix pl</w:t>
      </w:r>
      <w:r w:rsidRPr="00550CA1">
        <w:rPr>
          <w:lang w:eastAsia="fr-FR"/>
        </w:rPr>
        <w:t>a</w:t>
      </w:r>
      <w:r w:rsidRPr="00550CA1">
        <w:rPr>
          <w:lang w:eastAsia="fr-FR"/>
        </w:rPr>
        <w:t>fonds par les distributeurs de dispositifs médicaux vis-à-vis</w:t>
      </w:r>
      <w:r w:rsidR="002B6283">
        <w:rPr>
          <w:lang w:eastAsia="fr-FR"/>
        </w:rPr>
        <w:t xml:space="preserve"> des bénéficiaires de la CMU</w:t>
      </w:r>
      <w:r w:rsidR="002B6283">
        <w:rPr>
          <w:lang w:eastAsia="fr-FR"/>
        </w:rPr>
        <w:noBreakHyphen/>
        <w:t>C.</w:t>
      </w:r>
    </w:p>
    <w:p w14:paraId="4D2BA826" w14:textId="77777777" w:rsidR="002B6283" w:rsidRDefault="002B6283" w:rsidP="002B0835">
      <w:pPr>
        <w:pStyle w:val="Titre5"/>
      </w:pPr>
      <w:r>
        <w:t xml:space="preserve">Mener une étude sur la revente ou la mise à disposition de dispositifs médicaux d’occasion  </w:t>
      </w:r>
    </w:p>
    <w:p w14:paraId="1EDEA9D3" w14:textId="3BEA4F52" w:rsidR="002B6283" w:rsidRDefault="002B6283" w:rsidP="00181084">
      <w:pPr>
        <w:pStyle w:val="Corpsdetexte"/>
        <w:ind w:firstLine="284"/>
        <w:rPr>
          <w:lang w:eastAsia="fr-FR"/>
        </w:rPr>
      </w:pPr>
      <w:r>
        <w:rPr>
          <w:lang w:eastAsia="fr-FR"/>
        </w:rPr>
        <w:t>Aujourd’hui, il existe en France un marché des dispositifs médicaux d’occasion. Depuis le 1</w:t>
      </w:r>
      <w:r w:rsidR="00D65432" w:rsidRPr="00EA1EEF">
        <w:rPr>
          <w:vertAlign w:val="superscript"/>
          <w:lang w:eastAsia="fr-FR"/>
        </w:rPr>
        <w:t>er</w:t>
      </w:r>
      <w:r>
        <w:rPr>
          <w:lang w:eastAsia="fr-FR"/>
        </w:rPr>
        <w:t xml:space="preserve"> septembre 2011, la personne responsable de la cession d'un dispositif médical d'occasion est soumise à une obligation d'établir une attestation technique préalable qui certifie que le dispositif médical d'occasion a fait l'objet d'une maintenance régulière. L'attestation mentionne également les indications nécessaires pour identifier le dispositif médical, la date de première mise en service ou, dans le cas où le dispositif n'a jamais été mis en service, la date de première acquisition. Ces règles de revente sont définies dans le décret n° 2011-968 du 16 août 2011 relatif à la revente des dispositifs médicaux d'occasion.</w:t>
      </w:r>
    </w:p>
    <w:p w14:paraId="5F25CC55" w14:textId="2553C0B7" w:rsidR="002B6283" w:rsidRDefault="002B6283" w:rsidP="00181084">
      <w:pPr>
        <w:pStyle w:val="Corpsdetexte"/>
        <w:ind w:firstLine="284"/>
        <w:rPr>
          <w:lang w:eastAsia="fr-FR"/>
        </w:rPr>
      </w:pPr>
      <w:r>
        <w:rPr>
          <w:lang w:eastAsia="fr-FR"/>
        </w:rPr>
        <w:t xml:space="preserve">Plusieurs démarches d’économie circulaire de type recyclerie sont menées sur les territoires, à l’image d’EcoReso Autonomie dans le Val-de-Marne ou encore la Recyclothèque en Gironde. Ces recycleries collectent les appareillages usagés, les nettoient et les réparent avant de les proposer aux personnes âgées ou handicapées à </w:t>
      </w:r>
      <w:r w:rsidR="00D65432">
        <w:rPr>
          <w:lang w:eastAsia="fr-FR"/>
        </w:rPr>
        <w:t>d</w:t>
      </w:r>
      <w:r>
        <w:rPr>
          <w:lang w:eastAsia="fr-FR"/>
        </w:rPr>
        <w:t xml:space="preserve">es tarifs réduits. EcoReso propose par exemple des produits à un prix 30 à 50% moins élevé que du matériel neuf. </w:t>
      </w:r>
    </w:p>
    <w:p w14:paraId="481CBA10" w14:textId="77777777" w:rsidR="002B6283" w:rsidRDefault="002B6283" w:rsidP="002B6283">
      <w:pPr>
        <w:pStyle w:val="Corpsdetexte"/>
        <w:rPr>
          <w:lang w:eastAsia="fr-FR"/>
        </w:rPr>
      </w:pPr>
      <w:r>
        <w:rPr>
          <w:lang w:eastAsia="fr-FR"/>
        </w:rPr>
        <w:t>L’utilisation de ces dispositifs recyclés pourrait être une solution pour limiter le reste à charge des personnes n</w:t>
      </w:r>
      <w:r>
        <w:rPr>
          <w:lang w:eastAsia="fr-FR"/>
        </w:rPr>
        <w:t>é</w:t>
      </w:r>
      <w:r>
        <w:rPr>
          <w:lang w:eastAsia="fr-FR"/>
        </w:rPr>
        <w:t xml:space="preserve">cessitant de nombreux appareillages. </w:t>
      </w:r>
    </w:p>
    <w:p w14:paraId="111AC1D8" w14:textId="1914FC48" w:rsidR="002B6283" w:rsidRDefault="009F6DFE" w:rsidP="00713CCA">
      <w:pPr>
        <w:pStyle w:val="EncadreCorpsdeTexte"/>
        <w:shd w:val="clear" w:color="auto" w:fill="auto"/>
      </w:pPr>
      <w:r>
        <w:t>Piste de travail</w:t>
      </w:r>
      <w:r w:rsidR="002B6283">
        <w:t xml:space="preserve"> – </w:t>
      </w:r>
      <w:r w:rsidR="00D65432">
        <w:t>R</w:t>
      </w:r>
      <w:r w:rsidR="002B6283">
        <w:t xml:space="preserve">éaliser une étude détaillée du marché des dispositifs d’occasion afin d’envisager les pistes de développement et les modalités de prise en charge associées. </w:t>
      </w:r>
    </w:p>
    <w:p w14:paraId="4A8B40A1" w14:textId="5BB9E305" w:rsidR="009D057C" w:rsidRPr="009D057C" w:rsidRDefault="009D057C" w:rsidP="009D057C">
      <w:pPr>
        <w:pStyle w:val="Titre4"/>
      </w:pPr>
      <w:bookmarkStart w:id="333" w:name="_Toc517949945"/>
      <w:bookmarkStart w:id="334" w:name="_Toc518750560"/>
      <w:bookmarkStart w:id="335" w:name="_Toc523327683"/>
      <w:r w:rsidRPr="009D057C">
        <w:t xml:space="preserve">Prévenir les restes à charge pour les </w:t>
      </w:r>
      <w:bookmarkEnd w:id="333"/>
      <w:r w:rsidRPr="009D057C">
        <w:t>personnes en situation irrégulière</w:t>
      </w:r>
      <w:bookmarkEnd w:id="334"/>
      <w:bookmarkEnd w:id="335"/>
    </w:p>
    <w:p w14:paraId="083CB115" w14:textId="77777777" w:rsidR="004F51E5" w:rsidRDefault="004F51E5" w:rsidP="004F51E5">
      <w:pPr>
        <w:pStyle w:val="Titre5"/>
      </w:pPr>
      <w:r>
        <w:t>L’AME, une couverture moins protectrice que la CMU-C et l’ACS</w:t>
      </w:r>
    </w:p>
    <w:p w14:paraId="1B62262F" w14:textId="66687C6F" w:rsidR="009D057C" w:rsidRPr="009D057C" w:rsidRDefault="009D057C" w:rsidP="009D057C">
      <w:pPr>
        <w:pStyle w:val="Corpsdetexte"/>
      </w:pPr>
      <w:r w:rsidRPr="009D057C">
        <w:t>Les personnes en situation irrégulière, exclues de la sécurité sociale, peuvent bénéficier de l’A</w:t>
      </w:r>
      <w:r w:rsidR="00D65432">
        <w:t>ME</w:t>
      </w:r>
      <w:r w:rsidRPr="009D057C">
        <w:t xml:space="preserve"> qui prend en charge les dépenses de santé à </w:t>
      </w:r>
      <w:r w:rsidR="008034BB">
        <w:t xml:space="preserve">hauteur de </w:t>
      </w:r>
      <w:r w:rsidRPr="009D057C">
        <w:t>100% des tarifs maximums fixés par l’assurance maladie.</w:t>
      </w:r>
    </w:p>
    <w:p w14:paraId="1F5F8B5A" w14:textId="517AA516" w:rsidR="009D057C" w:rsidRPr="009D057C" w:rsidRDefault="009D057C" w:rsidP="009D057C">
      <w:pPr>
        <w:pStyle w:val="Corpsdetexte"/>
      </w:pPr>
      <w:r w:rsidRPr="009D057C">
        <w:t>Comme pour la CMU-C et l’ACS, le bénéficiaire de l’AME a le droit à la dispense d’avance de frais</w:t>
      </w:r>
      <w:r w:rsidR="0034283C">
        <w:t xml:space="preserve"> et ne paie pas de participation forfaitaire ni de franchise</w:t>
      </w:r>
      <w:r w:rsidRPr="009D057C">
        <w:t xml:space="preserve">. En revanche, il peut se voir appliquer des dépassements d’honoraires. En termes de prise en charge, l’AME ne couvre pas les dépenses allant au-delà du tarif de responsabilité de sécurité sociale. Il n’existe pas de forfait permettant la prise en charge des dépassements en optique, audiologie et soins prothétiques dentaires comme cela existe avec la CMU-C. L’absence de tarifs plafonds spécifiques constitue un frein supplémentaire </w:t>
      </w:r>
      <w:r w:rsidR="003036F6">
        <w:t xml:space="preserve">pour l’accès à certains soins. </w:t>
      </w:r>
    </w:p>
    <w:p w14:paraId="2F71D0F7" w14:textId="0224866F" w:rsidR="003036F6" w:rsidRPr="003036F6" w:rsidRDefault="00160C5D" w:rsidP="00160C5D">
      <w:pPr>
        <w:pStyle w:val="Lgende"/>
        <w:rPr>
          <w:b/>
        </w:rPr>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1</w:t>
      </w:r>
      <w:r w:rsidR="00AF653A">
        <w:rPr>
          <w:noProof/>
        </w:rPr>
        <w:fldChar w:fldCharType="end"/>
      </w:r>
      <w:r w:rsidR="003036F6">
        <w:t xml:space="preserve">– </w:t>
      </w:r>
      <w:r w:rsidR="003036F6" w:rsidRPr="003036F6">
        <w:t>Comparaison des avantages associés aux dispositifs AME, CMU-C, ACS</w:t>
      </w:r>
    </w:p>
    <w:tbl>
      <w:tblPr>
        <w:tblStyle w:val="Tramemoyenne1"/>
        <w:tblW w:w="9498" w:type="dxa"/>
        <w:tblLayout w:type="fixed"/>
        <w:tblLook w:val="04A0" w:firstRow="1" w:lastRow="0" w:firstColumn="1" w:lastColumn="0" w:noHBand="0" w:noVBand="1"/>
      </w:tblPr>
      <w:tblGrid>
        <w:gridCol w:w="2977"/>
        <w:gridCol w:w="2173"/>
        <w:gridCol w:w="2174"/>
        <w:gridCol w:w="2174"/>
      </w:tblGrid>
      <w:tr w:rsidR="009D057C" w:rsidRPr="0002617B" w14:paraId="0E4F4F8C" w14:textId="77777777" w:rsidTr="0002617B">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977" w:type="dxa"/>
            <w:hideMark/>
          </w:tcPr>
          <w:p w14:paraId="3C6A6255" w14:textId="77777777" w:rsidR="009D057C" w:rsidRPr="00EA1EEF" w:rsidRDefault="009D057C" w:rsidP="009D057C">
            <w:pPr>
              <w:pStyle w:val="Corpsdetexte"/>
              <w:rPr>
                <w:rFonts w:asciiTheme="minorHAnsi" w:hAnsiTheme="minorHAnsi"/>
                <w:color w:val="FFFFFF" w:themeColor="background1"/>
              </w:rPr>
            </w:pPr>
            <w:r w:rsidRPr="00EA1EEF">
              <w:rPr>
                <w:rFonts w:asciiTheme="minorHAnsi" w:hAnsiTheme="minorHAnsi"/>
                <w:color w:val="FFFFFF" w:themeColor="background1"/>
              </w:rPr>
              <w:t>Avantages</w:t>
            </w:r>
          </w:p>
        </w:tc>
        <w:tc>
          <w:tcPr>
            <w:tcW w:w="2173" w:type="dxa"/>
            <w:hideMark/>
          </w:tcPr>
          <w:p w14:paraId="584B1F1C" w14:textId="77777777" w:rsidR="009D057C" w:rsidRPr="00EA1EEF" w:rsidRDefault="009D057C" w:rsidP="009D057C">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EA1EEF">
              <w:rPr>
                <w:rFonts w:asciiTheme="minorHAnsi" w:hAnsiTheme="minorHAnsi"/>
                <w:color w:val="FFFFFF" w:themeColor="background1"/>
              </w:rPr>
              <w:t>AME</w:t>
            </w:r>
          </w:p>
        </w:tc>
        <w:tc>
          <w:tcPr>
            <w:tcW w:w="2174" w:type="dxa"/>
            <w:hideMark/>
          </w:tcPr>
          <w:p w14:paraId="54F552E8" w14:textId="77777777" w:rsidR="009D057C" w:rsidRPr="00EA1EEF" w:rsidRDefault="009D057C" w:rsidP="009D057C">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EA1EEF">
              <w:rPr>
                <w:rFonts w:asciiTheme="minorHAnsi" w:hAnsiTheme="minorHAnsi"/>
                <w:color w:val="FFFFFF" w:themeColor="background1"/>
              </w:rPr>
              <w:t>CMU-C</w:t>
            </w:r>
          </w:p>
        </w:tc>
        <w:tc>
          <w:tcPr>
            <w:tcW w:w="2174" w:type="dxa"/>
            <w:hideMark/>
          </w:tcPr>
          <w:p w14:paraId="627A7109" w14:textId="77777777" w:rsidR="009D057C" w:rsidRPr="00EA1EEF" w:rsidRDefault="009D057C" w:rsidP="009D057C">
            <w:pPr>
              <w:pStyle w:val="Corpsdetexte"/>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EA1EEF">
              <w:rPr>
                <w:rFonts w:asciiTheme="minorHAnsi" w:hAnsiTheme="minorHAnsi"/>
                <w:color w:val="FFFFFF" w:themeColor="background1"/>
              </w:rPr>
              <w:t>ACS</w:t>
            </w:r>
          </w:p>
        </w:tc>
      </w:tr>
      <w:tr w:rsidR="0002617B" w:rsidRPr="0002617B" w14:paraId="4120B5A7" w14:textId="77777777" w:rsidTr="0002617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977" w:type="dxa"/>
            <w:hideMark/>
          </w:tcPr>
          <w:p w14:paraId="13AB6935" w14:textId="77777777" w:rsidR="009D057C" w:rsidRPr="0002617B" w:rsidRDefault="009D057C" w:rsidP="0002617B">
            <w:pPr>
              <w:pStyle w:val="Corpsdetexte"/>
              <w:jc w:val="left"/>
              <w:rPr>
                <w:rFonts w:asciiTheme="minorHAnsi" w:hAnsiTheme="minorHAnsi"/>
              </w:rPr>
            </w:pPr>
            <w:r w:rsidRPr="0002617B">
              <w:rPr>
                <w:rFonts w:asciiTheme="minorHAnsi" w:hAnsiTheme="minorHAnsi"/>
              </w:rPr>
              <w:t>Dispense d’avance de frais</w:t>
            </w:r>
          </w:p>
        </w:tc>
        <w:tc>
          <w:tcPr>
            <w:tcW w:w="2173" w:type="dxa"/>
            <w:noWrap/>
            <w:hideMark/>
          </w:tcPr>
          <w:p w14:paraId="31EFC456" w14:textId="77777777" w:rsidR="009D057C" w:rsidRPr="0002617B" w:rsidRDefault="009D057C" w:rsidP="0002617B">
            <w:pPr>
              <w:pStyle w:val="Corpsdetexte"/>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2617B">
              <w:rPr>
                <w:rFonts w:asciiTheme="minorHAnsi" w:hAnsiTheme="minorHAnsi"/>
              </w:rPr>
              <w:t>Oui</w:t>
            </w:r>
          </w:p>
        </w:tc>
        <w:tc>
          <w:tcPr>
            <w:tcW w:w="2174" w:type="dxa"/>
            <w:hideMark/>
          </w:tcPr>
          <w:p w14:paraId="564BE5EA" w14:textId="77777777" w:rsidR="009D057C" w:rsidRPr="0002617B" w:rsidRDefault="009D057C" w:rsidP="0002617B">
            <w:pPr>
              <w:pStyle w:val="Corpsdetexte"/>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2617B">
              <w:rPr>
                <w:rFonts w:asciiTheme="minorHAnsi" w:hAnsiTheme="minorHAnsi"/>
              </w:rPr>
              <w:t>Oui</w:t>
            </w:r>
          </w:p>
        </w:tc>
        <w:tc>
          <w:tcPr>
            <w:tcW w:w="2174" w:type="dxa"/>
            <w:noWrap/>
            <w:hideMark/>
          </w:tcPr>
          <w:p w14:paraId="38C03792" w14:textId="77777777" w:rsidR="009D057C" w:rsidRPr="0002617B" w:rsidRDefault="009D057C" w:rsidP="0002617B">
            <w:pPr>
              <w:pStyle w:val="Corpsdetexte"/>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2617B">
              <w:rPr>
                <w:rFonts w:asciiTheme="minorHAnsi" w:hAnsiTheme="minorHAnsi"/>
              </w:rPr>
              <w:t>Oui</w:t>
            </w:r>
          </w:p>
        </w:tc>
      </w:tr>
      <w:tr w:rsidR="009D057C" w:rsidRPr="0002617B" w14:paraId="14F3A976" w14:textId="77777777" w:rsidTr="0002617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977" w:type="dxa"/>
            <w:hideMark/>
          </w:tcPr>
          <w:p w14:paraId="1EE5AACD" w14:textId="77777777" w:rsidR="009D057C" w:rsidRPr="0002617B" w:rsidRDefault="009D057C" w:rsidP="0002617B">
            <w:pPr>
              <w:pStyle w:val="Corpsdetexte"/>
              <w:jc w:val="left"/>
              <w:rPr>
                <w:rFonts w:asciiTheme="minorHAnsi" w:hAnsiTheme="minorHAnsi"/>
              </w:rPr>
            </w:pPr>
            <w:r w:rsidRPr="0002617B">
              <w:rPr>
                <w:rFonts w:asciiTheme="minorHAnsi" w:hAnsiTheme="minorHAnsi"/>
              </w:rPr>
              <w:t>Dépassement d’honoraires en consultation médicale</w:t>
            </w:r>
          </w:p>
        </w:tc>
        <w:tc>
          <w:tcPr>
            <w:tcW w:w="2173" w:type="dxa"/>
            <w:noWrap/>
            <w:hideMark/>
          </w:tcPr>
          <w:p w14:paraId="6BD639DC" w14:textId="77777777" w:rsidR="009D057C" w:rsidRPr="0002617B" w:rsidRDefault="009D057C" w:rsidP="0002617B">
            <w:pPr>
              <w:pStyle w:val="Corpsdetexte"/>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2617B">
              <w:rPr>
                <w:rFonts w:asciiTheme="minorHAnsi" w:hAnsiTheme="minorHAnsi"/>
              </w:rPr>
              <w:t>Autorisé</w:t>
            </w:r>
          </w:p>
        </w:tc>
        <w:tc>
          <w:tcPr>
            <w:tcW w:w="2174" w:type="dxa"/>
            <w:hideMark/>
          </w:tcPr>
          <w:p w14:paraId="1476A064" w14:textId="77777777" w:rsidR="009D057C" w:rsidRPr="0002617B" w:rsidRDefault="009D057C" w:rsidP="0002617B">
            <w:pPr>
              <w:pStyle w:val="Corpsdetexte"/>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2617B">
              <w:rPr>
                <w:rFonts w:asciiTheme="minorHAnsi" w:hAnsiTheme="minorHAnsi"/>
              </w:rPr>
              <w:t>Interdit</w:t>
            </w:r>
          </w:p>
        </w:tc>
        <w:tc>
          <w:tcPr>
            <w:tcW w:w="2174" w:type="dxa"/>
            <w:noWrap/>
            <w:hideMark/>
          </w:tcPr>
          <w:p w14:paraId="25F3CC5C" w14:textId="77777777" w:rsidR="009D057C" w:rsidRPr="0002617B" w:rsidRDefault="009D057C" w:rsidP="0002617B">
            <w:pPr>
              <w:pStyle w:val="Corpsdetexte"/>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2617B">
              <w:rPr>
                <w:rFonts w:asciiTheme="minorHAnsi" w:hAnsiTheme="minorHAnsi"/>
              </w:rPr>
              <w:t>Interdit</w:t>
            </w:r>
          </w:p>
        </w:tc>
      </w:tr>
      <w:tr w:rsidR="0002617B" w:rsidRPr="0002617B" w14:paraId="79C52C41" w14:textId="77777777" w:rsidTr="0002617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977" w:type="dxa"/>
            <w:hideMark/>
          </w:tcPr>
          <w:p w14:paraId="62B8C4A5" w14:textId="77777777" w:rsidR="009D057C" w:rsidRPr="0002617B" w:rsidRDefault="009D057C" w:rsidP="0002617B">
            <w:pPr>
              <w:pStyle w:val="Corpsdetexte"/>
              <w:jc w:val="left"/>
              <w:rPr>
                <w:rFonts w:asciiTheme="minorHAnsi" w:hAnsiTheme="minorHAnsi"/>
              </w:rPr>
            </w:pPr>
            <w:r w:rsidRPr="0002617B">
              <w:rPr>
                <w:rFonts w:asciiTheme="minorHAnsi" w:hAnsiTheme="minorHAnsi"/>
              </w:rPr>
              <w:lastRenderedPageBreak/>
              <w:t>Participation forfaitaire et fra</w:t>
            </w:r>
            <w:r w:rsidRPr="0002617B">
              <w:rPr>
                <w:rFonts w:asciiTheme="minorHAnsi" w:hAnsiTheme="minorHAnsi"/>
              </w:rPr>
              <w:t>n</w:t>
            </w:r>
            <w:r w:rsidRPr="0002617B">
              <w:rPr>
                <w:rFonts w:asciiTheme="minorHAnsi" w:hAnsiTheme="minorHAnsi"/>
              </w:rPr>
              <w:t>chise médicale</w:t>
            </w:r>
          </w:p>
        </w:tc>
        <w:tc>
          <w:tcPr>
            <w:tcW w:w="2173" w:type="dxa"/>
            <w:noWrap/>
            <w:hideMark/>
          </w:tcPr>
          <w:p w14:paraId="655CD14B" w14:textId="751221A5" w:rsidR="009D057C" w:rsidRPr="0002617B" w:rsidRDefault="00FA3D2A" w:rsidP="00264C1E">
            <w:pPr>
              <w:pStyle w:val="Corpsdetexte"/>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Absence</w:t>
            </w:r>
          </w:p>
        </w:tc>
        <w:tc>
          <w:tcPr>
            <w:tcW w:w="2174" w:type="dxa"/>
            <w:hideMark/>
          </w:tcPr>
          <w:p w14:paraId="34D624E8" w14:textId="77777777" w:rsidR="009D057C" w:rsidRPr="0002617B" w:rsidRDefault="009D057C" w:rsidP="0002617B">
            <w:pPr>
              <w:pStyle w:val="Corpsdetexte"/>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2617B">
              <w:rPr>
                <w:rFonts w:asciiTheme="minorHAnsi" w:hAnsiTheme="minorHAnsi"/>
              </w:rPr>
              <w:t>Exonéré</w:t>
            </w:r>
          </w:p>
        </w:tc>
        <w:tc>
          <w:tcPr>
            <w:tcW w:w="2174" w:type="dxa"/>
            <w:noWrap/>
            <w:hideMark/>
          </w:tcPr>
          <w:p w14:paraId="16529906" w14:textId="77777777" w:rsidR="009D057C" w:rsidRPr="0002617B" w:rsidRDefault="009D057C" w:rsidP="0002617B">
            <w:pPr>
              <w:pStyle w:val="Corpsdetexte"/>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2617B">
              <w:rPr>
                <w:rFonts w:asciiTheme="minorHAnsi" w:hAnsiTheme="minorHAnsi"/>
              </w:rPr>
              <w:t>Exonéré</w:t>
            </w:r>
          </w:p>
        </w:tc>
      </w:tr>
      <w:tr w:rsidR="009D057C" w:rsidRPr="0002617B" w14:paraId="3F2BC9F0" w14:textId="77777777" w:rsidTr="0002617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977" w:type="dxa"/>
            <w:hideMark/>
          </w:tcPr>
          <w:p w14:paraId="1C3FB8D8" w14:textId="77777777" w:rsidR="009D057C" w:rsidRPr="0002617B" w:rsidRDefault="009D057C" w:rsidP="0002617B">
            <w:pPr>
              <w:pStyle w:val="Corpsdetexte"/>
              <w:jc w:val="left"/>
              <w:rPr>
                <w:rFonts w:asciiTheme="minorHAnsi" w:hAnsiTheme="minorHAnsi"/>
              </w:rPr>
            </w:pPr>
            <w:r w:rsidRPr="0002617B">
              <w:rPr>
                <w:rFonts w:asciiTheme="minorHAnsi" w:hAnsiTheme="minorHAnsi"/>
              </w:rPr>
              <w:t>Tarifs plafonds</w:t>
            </w:r>
          </w:p>
        </w:tc>
        <w:tc>
          <w:tcPr>
            <w:tcW w:w="2173" w:type="dxa"/>
            <w:noWrap/>
            <w:hideMark/>
          </w:tcPr>
          <w:p w14:paraId="53A2FA6E" w14:textId="77777777" w:rsidR="009D057C" w:rsidRPr="0002617B" w:rsidRDefault="009D057C" w:rsidP="0002617B">
            <w:pPr>
              <w:pStyle w:val="Corpsdetexte"/>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2617B">
              <w:rPr>
                <w:rFonts w:asciiTheme="minorHAnsi" w:hAnsiTheme="minorHAnsi"/>
              </w:rPr>
              <w:t>Aucun</w:t>
            </w:r>
          </w:p>
        </w:tc>
        <w:tc>
          <w:tcPr>
            <w:tcW w:w="2174" w:type="dxa"/>
            <w:hideMark/>
          </w:tcPr>
          <w:p w14:paraId="2E6E1E23" w14:textId="77777777" w:rsidR="009D057C" w:rsidRPr="0002617B" w:rsidRDefault="009D057C" w:rsidP="0002617B">
            <w:pPr>
              <w:pStyle w:val="Corpsdetexte"/>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2617B">
              <w:rPr>
                <w:rFonts w:asciiTheme="minorHAnsi" w:hAnsiTheme="minorHAnsi"/>
              </w:rPr>
              <w:t>Soins prothétiques dentaires, certains dispositifs médicaux (dont audioprothèses et optique)</w:t>
            </w:r>
          </w:p>
        </w:tc>
        <w:tc>
          <w:tcPr>
            <w:tcW w:w="2174" w:type="dxa"/>
            <w:noWrap/>
            <w:hideMark/>
          </w:tcPr>
          <w:p w14:paraId="5186E5D4" w14:textId="77777777" w:rsidR="009D057C" w:rsidRPr="0002617B" w:rsidRDefault="009D057C" w:rsidP="0002617B">
            <w:pPr>
              <w:pStyle w:val="Corpsdetexte"/>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2617B">
              <w:rPr>
                <w:rFonts w:asciiTheme="minorHAnsi" w:hAnsiTheme="minorHAnsi"/>
              </w:rPr>
              <w:t>Soins dentaires</w:t>
            </w:r>
          </w:p>
        </w:tc>
      </w:tr>
    </w:tbl>
    <w:p w14:paraId="0DEEC073" w14:textId="77777777" w:rsidR="009D057C" w:rsidRPr="009D057C" w:rsidRDefault="009D057C" w:rsidP="009D057C">
      <w:pPr>
        <w:pStyle w:val="Corpsdetexte"/>
      </w:pPr>
      <w:r w:rsidRPr="009D057C">
        <w:t>Les dépassements pratiqués vis-à-vis des bénéficiaires de l’AME contribuent vraisemblablement à un important report des soins dans le temps et vers l’hôpital</w:t>
      </w:r>
      <w:r w:rsidRPr="009D057C">
        <w:rPr>
          <w:vertAlign w:val="superscript"/>
        </w:rPr>
        <w:footnoteReference w:id="38"/>
      </w:r>
      <w:r w:rsidRPr="009D057C">
        <w:t xml:space="preserve"> avec un double effet de saturation des urgences et de renchéri</w:t>
      </w:r>
      <w:r w:rsidRPr="009D057C">
        <w:t>s</w:t>
      </w:r>
      <w:r w:rsidRPr="009D057C">
        <w:t xml:space="preserve">sement des coûts. La mission recommande de renouveler l’étude comparative </w:t>
      </w:r>
      <w:r w:rsidR="00E85DF2">
        <w:t xml:space="preserve">de la CNAM </w:t>
      </w:r>
      <w:r w:rsidRPr="009D057C">
        <w:t>concernant la structure des dépenses de soins et les dépassements appliqués aux bénéficiaires de l’AME au regard de la population gén</w:t>
      </w:r>
      <w:r w:rsidRPr="009D057C">
        <w:t>é</w:t>
      </w:r>
      <w:r w:rsidRPr="009D057C">
        <w:t>rale et des bénéficiaires de la CMU-C et de l’ACS</w:t>
      </w:r>
      <w:r w:rsidRPr="009D057C">
        <w:rPr>
          <w:vertAlign w:val="superscript"/>
        </w:rPr>
        <w:footnoteReference w:id="39"/>
      </w:r>
      <w:r w:rsidRPr="009D057C">
        <w:t xml:space="preserve"> de sorte à étudier l’opportunité de fixer des tarifs plafonds.</w:t>
      </w:r>
    </w:p>
    <w:p w14:paraId="1B59C177" w14:textId="53A1A2B0" w:rsidR="009D057C" w:rsidRPr="009D057C" w:rsidRDefault="009F6DFE" w:rsidP="00713CCA">
      <w:pPr>
        <w:pStyle w:val="EncadreCorpsdeTexte"/>
        <w:shd w:val="clear" w:color="auto" w:fill="auto"/>
      </w:pPr>
      <w:r w:rsidRPr="009D057C">
        <w:t>P</w:t>
      </w:r>
      <w:r>
        <w:t>iste de travail</w:t>
      </w:r>
      <w:r w:rsidR="009D057C" w:rsidRPr="009D057C">
        <w:t xml:space="preserve"> – </w:t>
      </w:r>
      <w:r w:rsidR="00264C1E">
        <w:t>R</w:t>
      </w:r>
      <w:r w:rsidR="009D057C" w:rsidRPr="009D057C">
        <w:t>éaliser une étude comparative de la structure des soins et des dépassements appliq</w:t>
      </w:r>
      <w:r w:rsidR="009D057C">
        <w:t xml:space="preserve">ués aux bénéficiaires de l’AME </w:t>
      </w:r>
      <w:r w:rsidR="00246587">
        <w:t>et l’impact sur le parcours de soin</w:t>
      </w:r>
      <w:r w:rsidR="00264C1E">
        <w:t>.</w:t>
      </w:r>
      <w:r w:rsidR="00246587">
        <w:t xml:space="preserve"> </w:t>
      </w:r>
    </w:p>
    <w:p w14:paraId="5D5FA2DC" w14:textId="7AEB1B6A" w:rsidR="009D057C" w:rsidRPr="009D057C" w:rsidRDefault="009D057C" w:rsidP="003036F6">
      <w:pPr>
        <w:pStyle w:val="Titre5"/>
        <w:rPr>
          <w:lang w:val="fr-BE"/>
        </w:rPr>
      </w:pPr>
      <w:r w:rsidRPr="009D057C">
        <w:rPr>
          <w:lang w:val="fr-BE"/>
        </w:rPr>
        <w:t>Clarifier et simplifier la procédure de détermination du cadre de droit dont relève la personne lors de la réalisation des soins urgents à l’hôpital (AME versus dispositif de soins urgents)</w:t>
      </w:r>
    </w:p>
    <w:p w14:paraId="38F7A757" w14:textId="55A50B2B" w:rsidR="009D057C" w:rsidRPr="009D057C" w:rsidRDefault="009D057C" w:rsidP="009D057C">
      <w:pPr>
        <w:pStyle w:val="Corpsdetexte"/>
      </w:pPr>
      <w:r w:rsidRPr="009D057C">
        <w:t>Les éléments apportés ici sur le dispositif « soins urgents » ne le sont que dans la mesure où ils concernent des personnes démunies.</w:t>
      </w:r>
    </w:p>
    <w:p w14:paraId="0FDB9125" w14:textId="42C4ABF5" w:rsidR="009D057C" w:rsidRPr="009D057C" w:rsidRDefault="009D057C" w:rsidP="009D057C">
      <w:pPr>
        <w:pStyle w:val="Corpsdetexte"/>
      </w:pPr>
      <w:r w:rsidRPr="009D057C">
        <w:t>Les établissements hospitaliers sont soumis à des obligations d’accueil et de soins particulières, qui garantissent l’égal accès de tous aux soins et permettent, notamment, aux patients de recevoir les soins préventifs, curatifs ou palliatifs que requiert leur état. Ces dispositions conduisent donc ces établissements à recevoir des patients en attente de soins alors qu’ils ne sont pas en situation de justifier de leur prise en charge financière par un système de protection sociale ou un contrat d’assurance pr</w:t>
      </w:r>
      <w:r w:rsidRPr="009D057C">
        <w:t>i</w:t>
      </w:r>
      <w:r w:rsidRPr="009D057C">
        <w:t>vée ou d’assurer eux-mêmes le paiement des frais afférents aux soins demandés</w:t>
      </w:r>
      <w:r>
        <w:t>.</w:t>
      </w:r>
    </w:p>
    <w:p w14:paraId="755BF86D" w14:textId="6E1108BC" w:rsidR="009D057C" w:rsidRPr="009D057C" w:rsidRDefault="009D057C" w:rsidP="009D057C">
      <w:pPr>
        <w:pStyle w:val="Corpsdetexte"/>
      </w:pPr>
      <w:r w:rsidRPr="009D057C">
        <w:t xml:space="preserve">Les séjours liés à la maternité constituent la part prépondérante des interventions </w:t>
      </w:r>
      <w:r w:rsidR="00903AFD">
        <w:t xml:space="preserve">prises en charge au titre des </w:t>
      </w:r>
      <w:r w:rsidRPr="009D057C">
        <w:t xml:space="preserve"> soins urgents, soit environ 30%. En y ajoutant les maladies rénales nécessitant des séances d’hémodialyse, les a</w:t>
      </w:r>
      <w:r w:rsidRPr="009D057C">
        <w:t>f</w:t>
      </w:r>
      <w:r w:rsidRPr="009D057C">
        <w:t>fections de l’appareil respiratoire et les affections de la peau, le total obtenu dépasse les 50% de l’activité de soins urgents</w:t>
      </w:r>
      <w:r w:rsidRPr="009D057C">
        <w:rPr>
          <w:vertAlign w:val="superscript"/>
        </w:rPr>
        <w:footnoteReference w:id="40"/>
      </w:r>
      <w:r w:rsidRPr="009D057C">
        <w:t>.</w:t>
      </w:r>
    </w:p>
    <w:p w14:paraId="64567272" w14:textId="1E88F9E7" w:rsidR="009D057C" w:rsidRPr="009D057C" w:rsidRDefault="009D057C" w:rsidP="009D057C">
      <w:pPr>
        <w:pStyle w:val="Corpsdetexte"/>
      </w:pPr>
      <w:r w:rsidRPr="009D057C">
        <w:t xml:space="preserve">Ces soins sont réglés aux établissements de santé par l’assurance maladie et font l’objet d’une prise en charge forfaitaire par l’État fixée à 40 </w:t>
      </w:r>
      <w:r w:rsidR="00903AFD">
        <w:t>millions d’euros</w:t>
      </w:r>
      <w:r w:rsidRPr="009D057C">
        <w:t xml:space="preserve"> par an depuis 2008.</w:t>
      </w:r>
    </w:p>
    <w:p w14:paraId="63715B33" w14:textId="0C7DEA12" w:rsidR="009D057C" w:rsidRPr="009D057C" w:rsidRDefault="009D057C" w:rsidP="009D057C">
      <w:pPr>
        <w:pStyle w:val="Corpsdetexte"/>
      </w:pPr>
      <w:r w:rsidRPr="009D057C">
        <w:t xml:space="preserve">Lorsqu’une personne en situation irrégulière est prise en charge pour soins urgents à l’hôpital, la procédure de détermination du droit est complexe et engendre des coûts de gestion pour l’assurance maladie comme pour les </w:t>
      </w:r>
      <w:r w:rsidRPr="004B383F">
        <w:t>hôpitaux (cf. contribution du Comède</w:t>
      </w:r>
      <w:r w:rsidR="0049434D">
        <w:t>, volume des contributions a</w:t>
      </w:r>
      <w:r w:rsidR="00733C80">
        <w:t xml:space="preserve">u </w:t>
      </w:r>
      <w:r w:rsidR="000D787C">
        <w:t>rapport</w:t>
      </w:r>
      <w:r w:rsidRPr="004B383F">
        <w:t>).</w:t>
      </w:r>
      <w:r w:rsidRPr="009D057C">
        <w:t xml:space="preserve"> </w:t>
      </w:r>
    </w:p>
    <w:p w14:paraId="0EC4A0ED" w14:textId="63734E30" w:rsidR="009D057C" w:rsidRPr="009D057C" w:rsidRDefault="009D057C" w:rsidP="009D057C">
      <w:pPr>
        <w:pStyle w:val="Corpsdetexte"/>
      </w:pPr>
      <w:r w:rsidRPr="009D057C">
        <w:t>La prise en charge dans le cadre du dispositif de soins urgents par les hôpitaux nécessite d’apporter la preuve que la personne n’est pas bénéficiaire de l’AME. Pour l’ensemble des dossiers éligibles au dispositif des soins urgents, les établissements doivent présenter une demande d’AME à la CPAM et n’imputer sur le dispositif des soins u</w:t>
      </w:r>
      <w:r w:rsidRPr="009D057C">
        <w:t>r</w:t>
      </w:r>
      <w:r w:rsidRPr="009D057C">
        <w:t>gents que ceux pour lesquels la demande d’AME a été rejetée. Cette mesure permet à la CPAM de vérifier que le patient ne bénéficie pas de droits ouverts au titre d’un autre dispositif.</w:t>
      </w:r>
    </w:p>
    <w:p w14:paraId="285E5F11" w14:textId="02ECD5E0" w:rsidR="003036F6" w:rsidRPr="003036F6" w:rsidRDefault="003036F6" w:rsidP="003036F6">
      <w:pPr>
        <w:pStyle w:val="Corpsdetexte"/>
      </w:pPr>
      <w:r w:rsidRPr="003036F6">
        <w:lastRenderedPageBreak/>
        <w:t>Les hôpitaux doivent donc faire partir un dossier de demande d’AME auprès de la caisse d’assurance maladie</w:t>
      </w:r>
      <w:r w:rsidR="0089096F">
        <w:t xml:space="preserve">, </w:t>
      </w:r>
      <w:r w:rsidRPr="003036F6">
        <w:t>a</w:t>
      </w:r>
      <w:r w:rsidRPr="003036F6">
        <w:t>t</w:t>
      </w:r>
      <w:r w:rsidRPr="003036F6">
        <w:t>tendre l</w:t>
      </w:r>
      <w:r w:rsidR="0089096F">
        <w:t xml:space="preserve">e courrier de refus d’AME </w:t>
      </w:r>
      <w:r w:rsidRPr="003036F6">
        <w:t>de la caisse</w:t>
      </w:r>
      <w:r w:rsidR="00761A49">
        <w:t xml:space="preserve"> </w:t>
      </w:r>
      <w:r w:rsidRPr="003036F6">
        <w:t xml:space="preserve">afin de procéder à une seconde saisine de la caisse pour que celle-ci </w:t>
      </w:r>
      <w:r w:rsidR="0089096F">
        <w:t>liquide</w:t>
      </w:r>
      <w:r w:rsidR="0089096F" w:rsidRPr="003036F6">
        <w:t xml:space="preserve"> </w:t>
      </w:r>
      <w:r w:rsidRPr="003036F6">
        <w:t>la factur</w:t>
      </w:r>
      <w:r w:rsidR="0089096F">
        <w:t>e</w:t>
      </w:r>
      <w:r w:rsidRPr="003036F6">
        <w:t xml:space="preserve"> des soins dans le cadre du dispositif de soins urgents.</w:t>
      </w:r>
    </w:p>
    <w:p w14:paraId="4771E724" w14:textId="77777777" w:rsidR="003036F6" w:rsidRPr="003036F6" w:rsidRDefault="003036F6" w:rsidP="003036F6">
      <w:pPr>
        <w:pStyle w:val="Corpsdetexte"/>
      </w:pPr>
      <w:r w:rsidRPr="003036F6">
        <w:t xml:space="preserve">Cette procédure se traduit dans un certain nombre de cas par une facturation des soins hospitaliers au patient, les hôpitaux renonçant à facturer les soins au titre du dispositif des soins urgents. En particulier, lorsque les demandes d’AME demeurent sans réponse de la caisse dans les deux mois d’instruction, les soins ne relevant alors ni de l’AME, ni du dispositif de soins urgents qui ne peut être mobilisé que si la preuve de refus d’AME est fournie. Comme l’indique le rapport IGAS de septembre 2017 d’évaluation de la COG 2017-2017 de la CNAM, le délai moyen d’instruction des dossiers d’AME est élevé dans les zones où les populations en situation d’irrégularité sont concentrées, en particulier pour la CPAM de Seine Saint Denis où le délai moyen est supérieur à deux mois (67 jours). </w:t>
      </w:r>
    </w:p>
    <w:p w14:paraId="77BD335B" w14:textId="77777777" w:rsidR="003036F6" w:rsidRPr="003036F6" w:rsidRDefault="003036F6" w:rsidP="003036F6">
      <w:pPr>
        <w:pStyle w:val="Corpsdetexte"/>
      </w:pPr>
      <w:r w:rsidRPr="003036F6">
        <w:t xml:space="preserve">Les demandes d’AME demeurées sans réponse entrainent au bout d’un an la forclusion des facturations au titre des « soins urgents » obligeant les établissements à se retourner vers le patient ou à déclarer les soins effectués en créances irrécouvrables. </w:t>
      </w:r>
    </w:p>
    <w:p w14:paraId="30681DC0" w14:textId="77777777" w:rsidR="003036F6" w:rsidRPr="003036F6" w:rsidRDefault="003036F6" w:rsidP="003036F6">
      <w:pPr>
        <w:pStyle w:val="Corpsdetexte"/>
      </w:pPr>
      <w:r w:rsidRPr="003036F6">
        <w:t>Ces situations induisent pour les hôpitaux des créances difficilement recouvrables compte tenu de la situation financière des personnes soignées. Pour les patients, cela génère un endettement auprès du Trésor public, qui hypothèque leurs possibilités d’insertion. Si aucune donnée n’est disponible sur le nombre total de cas conce</w:t>
      </w:r>
      <w:r w:rsidRPr="003036F6">
        <w:t>r</w:t>
      </w:r>
      <w:r w:rsidRPr="003036F6">
        <w:t>nés</w:t>
      </w:r>
      <w:r w:rsidRPr="003036F6">
        <w:rPr>
          <w:vertAlign w:val="superscript"/>
        </w:rPr>
        <w:footnoteReference w:id="41"/>
      </w:r>
      <w:r w:rsidRPr="003036F6">
        <w:t xml:space="preserve">, les cas sont réguliers, ont été rencontrés par la mission, et donnent lieu à un déploiement de ressources et de moyens importants pour y remédier de la part des associations et des hôpitaux. Fussent-elles peu nombreuses par rapport au nombre de personnes prises en charge dans le cadre des soins urgents, ces situations sont le fruit de la complexité du droit et des procédures associées ; elles doivent pouvoir être prévenues </w:t>
      </w:r>
      <w:r w:rsidRPr="003036F6">
        <w:rPr>
          <w:i/>
        </w:rPr>
        <w:t>via</w:t>
      </w:r>
      <w:r w:rsidRPr="003036F6">
        <w:t xml:space="preserve"> une meilleure co</w:t>
      </w:r>
      <w:r w:rsidRPr="003036F6">
        <w:t>m</w:t>
      </w:r>
      <w:r w:rsidRPr="003036F6">
        <w:t xml:space="preserve">munication sur les procédures et une simplification de ces procédures.  </w:t>
      </w:r>
    </w:p>
    <w:p w14:paraId="254A139C" w14:textId="52D5925E" w:rsidR="003036F6" w:rsidRPr="003036F6" w:rsidRDefault="003036F6" w:rsidP="003036F6">
      <w:pPr>
        <w:pStyle w:val="Corpsdetexte"/>
      </w:pPr>
      <w:r w:rsidRPr="003036F6">
        <w:t xml:space="preserve">La centralisation de la gestion des soins urgents dans deux CPAM (Calais et Paris) prévue à compter de 2019 devrait permettre de clarifier les pratiques en termes d’instruction des droits et d’affectation des dépenses au dispositif adéquat (AME ou soins urgents). </w:t>
      </w:r>
    </w:p>
    <w:p w14:paraId="25DF1EBE" w14:textId="60FF85AF" w:rsidR="003036F6" w:rsidRPr="003036F6" w:rsidRDefault="003036F6" w:rsidP="003036F6">
      <w:pPr>
        <w:pStyle w:val="Corpsdetexte"/>
      </w:pPr>
      <w:r w:rsidRPr="003036F6">
        <w:t>Cependant, à court terme, une solution doit être trouvée en cas d’absence de réponse de la CPAM dans les deux mois. Lors de nos auditions, la direction de la sécurité sociale nous a indiqué qu’une circulaire était en préparation afin de préciser aux hôpitaux que le silence gardé par la caisse pouvait être considéré comme un refus implicite d’AME, autorisant ainsi la demande de facturation au titre des soins urgents dans ces cas</w:t>
      </w:r>
      <w:r w:rsidR="00415FE3">
        <w:rPr>
          <w:rStyle w:val="Appelnotedebasdep"/>
        </w:rPr>
        <w:footnoteReference w:id="42"/>
      </w:r>
      <w:r w:rsidRPr="003036F6">
        <w:t xml:space="preserve">. </w:t>
      </w:r>
    </w:p>
    <w:p w14:paraId="7BAB150B" w14:textId="77777777" w:rsidR="003036F6" w:rsidRPr="003036F6" w:rsidRDefault="003036F6" w:rsidP="003036F6">
      <w:pPr>
        <w:pStyle w:val="Corpsdetexte"/>
      </w:pPr>
      <w:r>
        <w:t>Nous proposons donc de :</w:t>
      </w:r>
    </w:p>
    <w:p w14:paraId="6D5345C6" w14:textId="665D0F7E" w:rsidR="003036F6" w:rsidRDefault="003036F6" w:rsidP="003036F6">
      <w:pPr>
        <w:pStyle w:val="EncadreCorpsdeTexte"/>
      </w:pPr>
      <w:r w:rsidRPr="003036F6">
        <w:t>Proposition n°</w:t>
      </w:r>
      <w:r w:rsidR="00F01FB6" w:rsidRPr="003036F6">
        <w:t>1</w:t>
      </w:r>
      <w:r w:rsidR="00422705">
        <w:t>6</w:t>
      </w:r>
      <w:r w:rsidR="00F01FB6" w:rsidRPr="003036F6">
        <w:t xml:space="preserve"> </w:t>
      </w:r>
      <w:r w:rsidRPr="003036F6">
        <w:t xml:space="preserve">– </w:t>
      </w:r>
      <w:r w:rsidR="001C6899">
        <w:t>Simplifier et mieux communiquer sur la procédure de prise en charge au titre des soins urgents afin de p</w:t>
      </w:r>
      <w:r w:rsidRPr="003036F6">
        <w:t>révenir les situations d’endettement des personnes pauvres en situation irrégulière so</w:t>
      </w:r>
      <w:r w:rsidRPr="003036F6">
        <w:t>i</w:t>
      </w:r>
      <w:r w:rsidRPr="003036F6">
        <w:t>gnées à l’hôpital dans le cadre des soins urgents</w:t>
      </w:r>
      <w:r w:rsidR="001C6899">
        <w:t xml:space="preserve"> </w:t>
      </w:r>
      <w:r w:rsidR="001C6899" w:rsidRPr="0049434D">
        <w:t>et de limiter les créances irrécouvrables pour les établissements.</w:t>
      </w:r>
    </w:p>
    <w:p w14:paraId="2EA8A3A8" w14:textId="77777777" w:rsidR="00974C89" w:rsidRPr="003036F6" w:rsidRDefault="00974C89" w:rsidP="00974C89">
      <w:pPr>
        <w:pStyle w:val="Corpsdetexte"/>
      </w:pPr>
    </w:p>
    <w:p w14:paraId="169B3F12" w14:textId="7F3D0389" w:rsidR="002B0835" w:rsidRDefault="00841D69" w:rsidP="00841D69">
      <w:pPr>
        <w:pStyle w:val="Titre2"/>
      </w:pPr>
      <w:bookmarkStart w:id="336" w:name="_Toc484535477"/>
      <w:bookmarkStart w:id="337" w:name="_Toc518896250"/>
      <w:bookmarkStart w:id="338" w:name="_Toc523327684"/>
      <w:r w:rsidRPr="00841D69">
        <w:lastRenderedPageBreak/>
        <w:t>Faciliter l’accès à la santé</w:t>
      </w:r>
      <w:r w:rsidR="00375629">
        <w:t xml:space="preserve"> : </w:t>
      </w:r>
      <w:r w:rsidR="00056217">
        <w:t>« Aller vers »</w:t>
      </w:r>
      <w:bookmarkEnd w:id="338"/>
    </w:p>
    <w:p w14:paraId="5CCF639D" w14:textId="728ACC6F" w:rsidR="00974C89" w:rsidRPr="00974C89" w:rsidRDefault="00974C89" w:rsidP="00181084">
      <w:pPr>
        <w:pStyle w:val="Corpsdetexte"/>
        <w:ind w:firstLine="284"/>
      </w:pPr>
      <w:r w:rsidRPr="00974C89">
        <w:t>Une démarche proactive du service public de sécurité sociale est nécessaire pour mieux identifier les besoins et évaluer la situation des patients dans leur cadre de vie permanent ou provisoire, en tentant de suivre des situ</w:t>
      </w:r>
      <w:r w:rsidRPr="00974C89">
        <w:t>a</w:t>
      </w:r>
      <w:r w:rsidRPr="00974C89">
        <w:t>tions parfois évolutives, tant du point de vue social que médical. En effet, le non</w:t>
      </w:r>
      <w:r w:rsidR="006F7976">
        <w:t xml:space="preserve"> </w:t>
      </w:r>
      <w:r w:rsidRPr="00974C89">
        <w:t>recours aux soins est lié à l’absence d’information, à sa mauvaise compréhension ou aux difficultés à la rechercher (incapacité à commun</w:t>
      </w:r>
      <w:r w:rsidRPr="00974C89">
        <w:t>i</w:t>
      </w:r>
      <w:r w:rsidRPr="00974C89">
        <w:t xml:space="preserve">quer, à lire, à se repérer, impossibilité matérielle de se déplacer à l’extérieur du domicile ou de l’établissement en raison du handicap ou de la situation sociale). </w:t>
      </w:r>
    </w:p>
    <w:p w14:paraId="1B2D6238" w14:textId="77777777" w:rsidR="00974C89" w:rsidRPr="00974C89" w:rsidRDefault="00974C89" w:rsidP="00181084">
      <w:pPr>
        <w:pStyle w:val="Corpsdetexte"/>
        <w:ind w:firstLine="284"/>
      </w:pPr>
      <w:r w:rsidRPr="00974C89">
        <w:t>Ainsi, un système de santé inclusif doit-il détecter les besoins, aller à la rencontre du bénéficiaire, vers lui, pl</w:t>
      </w:r>
      <w:r w:rsidRPr="00974C89">
        <w:t>u</w:t>
      </w:r>
      <w:r w:rsidRPr="00974C89">
        <w:t>tôt que de lui demander de chercher seul le lieu de soins où ses droits à la santé et à la prévention peuvent s’exercer, et de s’y rendre. Sa situation difficile ou son autonomie entravée ne lui permettent pas toujours de réal</w:t>
      </w:r>
      <w:r w:rsidRPr="00974C89">
        <w:t>i</w:t>
      </w:r>
      <w:r w:rsidRPr="00974C89">
        <w:t>ser avec facilité les démarches complexes supposant une familiarité avec le système de protection sociale, avec l’univers médical et la maitrise des outils numériqu</w:t>
      </w:r>
      <w:r>
        <w:t>es ou des imprimés disponibles.</w:t>
      </w:r>
    </w:p>
    <w:p w14:paraId="371DAC33" w14:textId="77777777" w:rsidR="00974C89" w:rsidRDefault="00974C89" w:rsidP="00181084">
      <w:pPr>
        <w:pStyle w:val="Corpsdetexte"/>
        <w:ind w:firstLine="284"/>
      </w:pPr>
      <w:r w:rsidRPr="00974C89">
        <w:t>Il s’agit d’inverser le modèle de santé fondé sur une logique de soins « quérables » pour tendre vers une l</w:t>
      </w:r>
      <w:r w:rsidRPr="00974C89">
        <w:t>o</w:t>
      </w:r>
      <w:r w:rsidRPr="00974C89">
        <w:t xml:space="preserve">gique active de proposition des soins. Une telle démarche s’appuie sur plusieurs piliers : le repérage des personnes qui renoncent aux soins (détecter), l’orientation vers l’offre de soins (accompagner), des outils de cartographie de l’offre (partager l’information sur l’offre), et enfin un mode opératoire consistant à amener le soin à la personne (« aller-vers ») lorsque celle-ci n’est pas en capacité d’accéder au soin de manière autonome. </w:t>
      </w:r>
      <w:r>
        <w:t xml:space="preserve"> </w:t>
      </w:r>
      <w:bookmarkStart w:id="339" w:name="_Toc518750562"/>
    </w:p>
    <w:p w14:paraId="086400AA" w14:textId="1D88DF3A" w:rsidR="00974C89" w:rsidRPr="00B0532D" w:rsidRDefault="00974C89" w:rsidP="00974C89">
      <w:pPr>
        <w:pStyle w:val="Titre3"/>
      </w:pPr>
      <w:bookmarkStart w:id="340" w:name="_Toc523327685"/>
      <w:r w:rsidRPr="00974C89">
        <w:t xml:space="preserve">Faciliter l’accès à l’offre : </w:t>
      </w:r>
      <w:r w:rsidR="00375629">
        <w:t>o</w:t>
      </w:r>
      <w:r w:rsidR="00246587">
        <w:t>rganiser</w:t>
      </w:r>
      <w:r w:rsidRPr="00974C89">
        <w:t xml:space="preserve"> </w:t>
      </w:r>
      <w:r w:rsidR="00246587">
        <w:t>un</w:t>
      </w:r>
      <w:r w:rsidRPr="00974C89">
        <w:t xml:space="preserve"> repérage, </w:t>
      </w:r>
      <w:r w:rsidR="00246587">
        <w:t>une</w:t>
      </w:r>
      <w:r w:rsidR="00CD0C04">
        <w:t xml:space="preserve"> </w:t>
      </w:r>
      <w:r w:rsidRPr="00974C89">
        <w:t xml:space="preserve">orientation et </w:t>
      </w:r>
      <w:r w:rsidR="00246587">
        <w:t>un</w:t>
      </w:r>
      <w:r w:rsidR="00CD0C04">
        <w:t xml:space="preserve"> </w:t>
      </w:r>
      <w:r w:rsidRPr="00974C89">
        <w:t>a</w:t>
      </w:r>
      <w:r w:rsidRPr="00974C89">
        <w:t>c</w:t>
      </w:r>
      <w:r w:rsidRPr="00974C89">
        <w:t>compagnement</w:t>
      </w:r>
      <w:bookmarkEnd w:id="339"/>
      <w:r w:rsidRPr="00974C89">
        <w:t xml:space="preserve"> des personnes</w:t>
      </w:r>
      <w:r w:rsidR="00246587">
        <w:t xml:space="preserve"> dans chaque territoire</w:t>
      </w:r>
      <w:bookmarkEnd w:id="340"/>
    </w:p>
    <w:p w14:paraId="7F7A2EF4" w14:textId="2D8278A9" w:rsidR="00974C89" w:rsidRPr="00974C89" w:rsidRDefault="00974C89" w:rsidP="00181084">
      <w:pPr>
        <w:pStyle w:val="Corpsdetexte"/>
        <w:ind w:firstLine="284"/>
      </w:pPr>
      <w:r w:rsidRPr="00974C89">
        <w:t>De multiples plateformes existent déjà aujourd’hui qui ont vocation à accompagner les patients et les profe</w:t>
      </w:r>
      <w:r w:rsidRPr="00974C89">
        <w:t>s</w:t>
      </w:r>
      <w:r w:rsidRPr="00974C89">
        <w:t xml:space="preserve">sionnels. La proposition faite ici ne consiste pas à ajouter une plateforme supplémentaire mais à présenter un modèle qui s’appuie sur l’existant : le modèle </w:t>
      </w:r>
      <w:r w:rsidR="005D22F8">
        <w:t>PFIDASS</w:t>
      </w:r>
      <w:r w:rsidR="006F7976">
        <w:t xml:space="preserve"> (</w:t>
      </w:r>
      <w:r w:rsidR="006F7976" w:rsidRPr="00974C89">
        <w:t>plateforme d’intervention départementale pour l’accès aux so</w:t>
      </w:r>
      <w:r w:rsidR="006F7976">
        <w:t>ins et à la santé</w:t>
      </w:r>
      <w:r w:rsidR="00470B0E">
        <w:t>)</w:t>
      </w:r>
      <w:r w:rsidRPr="00974C89">
        <w:t xml:space="preserve">. Il correspond en effet, dans l’esprit, à une démarche proactive d’accompagnement vers le soin et la santé.   </w:t>
      </w:r>
    </w:p>
    <w:p w14:paraId="0D68457F" w14:textId="015BAA90" w:rsidR="00974C89" w:rsidRPr="00974C89" w:rsidRDefault="00974C89" w:rsidP="00974C89">
      <w:pPr>
        <w:pStyle w:val="Titre4"/>
      </w:pPr>
      <w:bookmarkStart w:id="341" w:name="_Toc523327686"/>
      <w:r w:rsidRPr="00974C89">
        <w:t>Accompagner les personnes : l’esprit de la plateforme « </w:t>
      </w:r>
      <w:r w:rsidR="005D22F8">
        <w:t>PFIDASS</w:t>
      </w:r>
      <w:r w:rsidRPr="00974C89">
        <w:t> »</w:t>
      </w:r>
      <w:bookmarkEnd w:id="341"/>
    </w:p>
    <w:p w14:paraId="743EE08A" w14:textId="34AB0E82" w:rsidR="00974C89" w:rsidRPr="00974C89" w:rsidRDefault="00974C89" w:rsidP="00181084">
      <w:pPr>
        <w:pStyle w:val="Corpsdetexte"/>
        <w:ind w:firstLine="284"/>
      </w:pPr>
      <w:r w:rsidRPr="00974C89">
        <w:t xml:space="preserve">Il faut d’abord souligner que </w:t>
      </w:r>
      <w:r w:rsidR="005D22F8">
        <w:t>PFIDASS</w:t>
      </w:r>
      <w:r w:rsidRPr="00974C89">
        <w:t xml:space="preserve"> était inconnue de la quasi-totalité des personnes que nous avons aud</w:t>
      </w:r>
      <w:r w:rsidRPr="00974C89">
        <w:t>i</w:t>
      </w:r>
      <w:r w:rsidRPr="00974C89">
        <w:t>tionnées, ce qui interroge sur la visibilité donnée au dispositif</w:t>
      </w:r>
      <w:r w:rsidR="00B0532D">
        <w:t>.</w:t>
      </w:r>
    </w:p>
    <w:p w14:paraId="2B39124F" w14:textId="379E5B2E" w:rsidR="00974C89" w:rsidRPr="00974C89" w:rsidRDefault="00974C89" w:rsidP="00181084">
      <w:pPr>
        <w:pStyle w:val="Corpsdetexte"/>
        <w:ind w:firstLine="284"/>
      </w:pPr>
      <w:r w:rsidRPr="00974C89">
        <w:t xml:space="preserve">La CNAM a mis en place cette démarche intégrée d’accompagnement vers le soin et la santé innovante qui change fondamentalement le rôle et la posture de l’assurance maladie : la </w:t>
      </w:r>
      <w:r w:rsidR="005D22F8">
        <w:t>PFIDASS</w:t>
      </w:r>
      <w:r w:rsidRPr="00974C89">
        <w:t xml:space="preserve"> (</w:t>
      </w:r>
      <w:r w:rsidR="00536C82" w:rsidRPr="00EA1EEF">
        <w:rPr>
          <w:i/>
        </w:rPr>
        <w:t>cf.</w:t>
      </w:r>
      <w:r w:rsidR="00536C82">
        <w:t xml:space="preserve"> annexe 13</w:t>
      </w:r>
      <w:r w:rsidRPr="00974C89">
        <w:t>).</w:t>
      </w:r>
      <w:r w:rsidR="00B0532D">
        <w:t xml:space="preserve"> </w:t>
      </w:r>
    </w:p>
    <w:p w14:paraId="4780240F" w14:textId="05E61E1F" w:rsidR="00974C89" w:rsidRPr="00974C89" w:rsidRDefault="00974C89" w:rsidP="00181084">
      <w:pPr>
        <w:pStyle w:val="Corpsdetexte"/>
        <w:ind w:firstLine="284"/>
      </w:pPr>
      <w:r w:rsidRPr="00974C89">
        <w:t xml:space="preserve">La </w:t>
      </w:r>
      <w:r w:rsidR="005D22F8">
        <w:t>PFIDASS</w:t>
      </w:r>
      <w:r w:rsidRPr="00974C89">
        <w:t xml:space="preserve"> présente, dans ses principes, toutes les caractéristiques d’un dispositif de « guidance » vers l’accès aux soins, couvrant chaque étape : détection des personnes qui renoncent aux soins, bilan des droits et ouverture de droits à une couverture santé si nécessaire</w:t>
      </w:r>
      <w:r w:rsidR="00470B0E">
        <w:t xml:space="preserve"> (notamment l’aide </w:t>
      </w:r>
      <w:r w:rsidR="00470B0E" w:rsidRPr="00274E0E">
        <w:t xml:space="preserve">au choix de la complémentaire santé pour les </w:t>
      </w:r>
      <w:r w:rsidR="00470B0E">
        <w:t>personnes</w:t>
      </w:r>
      <w:r w:rsidR="00470B0E" w:rsidRPr="00274E0E">
        <w:t xml:space="preserve"> éligibles à l’ACS</w:t>
      </w:r>
      <w:r w:rsidR="00470B0E">
        <w:t xml:space="preserve">), </w:t>
      </w:r>
      <w:r w:rsidRPr="00974C89">
        <w:t xml:space="preserve">bilan des soins et identification des renoncements, proposition de plan d’accompagnement, mise en œuvre du plan avec orientation vers l’offre (jusqu’à la prise de </w:t>
      </w:r>
      <w:r w:rsidR="00274E0E">
        <w:t>rendez-vous</w:t>
      </w:r>
      <w:r w:rsidRPr="00974C89">
        <w:t xml:space="preserve"> avec le pro</w:t>
      </w:r>
      <w:r w:rsidR="00B0532D">
        <w:t xml:space="preserve">fessionnel de santé). </w:t>
      </w:r>
    </w:p>
    <w:p w14:paraId="19F4389B" w14:textId="6DEECC96" w:rsidR="00974C89" w:rsidRPr="00974C89" w:rsidRDefault="00974C89" w:rsidP="00181084">
      <w:pPr>
        <w:pStyle w:val="Corpsdetexte"/>
        <w:ind w:firstLine="284"/>
      </w:pPr>
      <w:r w:rsidRPr="00974C89">
        <w:t>Dans les faits, les premiers bilans confirment l’efficacité d’un tel dispositif pour mettre fin aux situations de r</w:t>
      </w:r>
      <w:r w:rsidRPr="00974C89">
        <w:t>e</w:t>
      </w:r>
      <w:r w:rsidRPr="00974C89">
        <w:t>noncement aux soins courants</w:t>
      </w:r>
      <w:r w:rsidRPr="00974C89">
        <w:rPr>
          <w:vertAlign w:val="superscript"/>
        </w:rPr>
        <w:footnoteReference w:id="43"/>
      </w:r>
      <w:r w:rsidRPr="00974C89">
        <w:t xml:space="preserve">. Cependant les modes de détection actuels de </w:t>
      </w:r>
      <w:r w:rsidR="005D22F8">
        <w:t>PFIDASS</w:t>
      </w:r>
      <w:r w:rsidRPr="00974C89">
        <w:t xml:space="preserve"> ne permettent pas d’assurer l’universalité du dispositif : les difficultés d’accès aux soins sont principalement repérées lorsque les pe</w:t>
      </w:r>
      <w:r w:rsidRPr="00974C89">
        <w:t>r</w:t>
      </w:r>
      <w:r w:rsidRPr="00974C89">
        <w:t xml:space="preserve">sonnes se présentent au guichet de la CPAM. Une proportion faible de personnes est détectée et accompagnée </w:t>
      </w:r>
      <w:r w:rsidRPr="00974C89">
        <w:rPr>
          <w:i/>
        </w:rPr>
        <w:t>via</w:t>
      </w:r>
      <w:r w:rsidRPr="00974C89">
        <w:t xml:space="preserve"> les partenariats avec les acteurs locaux (associations, </w:t>
      </w:r>
      <w:r w:rsidR="00470B0E">
        <w:t>c</w:t>
      </w:r>
      <w:r w:rsidR="006F7976" w:rsidRPr="006F7976">
        <w:t xml:space="preserve">entre communal d'action sociale </w:t>
      </w:r>
      <w:r w:rsidR="006F7976">
        <w:t xml:space="preserve">- </w:t>
      </w:r>
      <w:r w:rsidRPr="00974C89">
        <w:t>CCAS</w:t>
      </w:r>
      <w:r w:rsidR="006F7976">
        <w:t xml:space="preserve"> -</w:t>
      </w:r>
      <w:r w:rsidRPr="00974C89">
        <w:t xml:space="preserve">, etc.). </w:t>
      </w:r>
    </w:p>
    <w:p w14:paraId="492C4E07" w14:textId="081F2C02" w:rsidR="00974C89" w:rsidRPr="00974C89" w:rsidRDefault="00974C89" w:rsidP="00974C89">
      <w:pPr>
        <w:pStyle w:val="Corpsdetexte"/>
      </w:pPr>
      <w:r w:rsidRPr="00974C89">
        <w:lastRenderedPageBreak/>
        <w:t>La prégnance du mode de détection au guichet induit une sélection des publics concernés. Ceux qui ont des diff</w:t>
      </w:r>
      <w:r w:rsidRPr="00974C89">
        <w:t>i</w:t>
      </w:r>
      <w:r w:rsidRPr="00974C89">
        <w:t xml:space="preserve">cultés à se présenter au guichet (personnes en situation de handicap, personnes en situation irrégulière, SDF) en sont de fait exclus. Le renforcement de l’ancrage territorial du dispositif (développement du mode de détection </w:t>
      </w:r>
      <w:r w:rsidRPr="00EA1EEF">
        <w:rPr>
          <w:i/>
        </w:rPr>
        <w:t xml:space="preserve">via </w:t>
      </w:r>
      <w:r w:rsidRPr="00974C89">
        <w:t>les partenariats</w:t>
      </w:r>
      <w:r w:rsidR="00056217">
        <w:t xml:space="preserve"> avec</w:t>
      </w:r>
      <w:r w:rsidR="00CD0C04">
        <w:t xml:space="preserve"> </w:t>
      </w:r>
      <w:r w:rsidR="00056217">
        <w:t>notamment les associations</w:t>
      </w:r>
      <w:r w:rsidRPr="00974C89">
        <w:t>) permettrait de détecter des situations de non</w:t>
      </w:r>
      <w:r w:rsidR="006F7976">
        <w:t xml:space="preserve"> </w:t>
      </w:r>
      <w:r w:rsidRPr="00974C89">
        <w:t>recours aux soins et aux droits pour d</w:t>
      </w:r>
      <w:r w:rsidR="006F7976">
        <w:t>’</w:t>
      </w:r>
      <w:r w:rsidRPr="00974C89">
        <w:t>autres pu</w:t>
      </w:r>
      <w:r w:rsidR="00B0532D">
        <w:t xml:space="preserve">blics que les </w:t>
      </w:r>
      <w:r w:rsidR="005C1888">
        <w:t xml:space="preserve">personnes en situation de </w:t>
      </w:r>
      <w:r w:rsidR="00B0532D">
        <w:t>préca</w:t>
      </w:r>
      <w:r w:rsidR="005C1888">
        <w:t>rité.</w:t>
      </w:r>
    </w:p>
    <w:p w14:paraId="43BA3377" w14:textId="574A29CB" w:rsidR="00974C89" w:rsidRPr="00974C89" w:rsidRDefault="00974C89" w:rsidP="00974C89">
      <w:pPr>
        <w:pStyle w:val="Corpsdetexte"/>
      </w:pPr>
      <w:r w:rsidRPr="00974C89">
        <w:t xml:space="preserve">Les plateformes territoriales d’appui (PTA) préexistantes à </w:t>
      </w:r>
      <w:r w:rsidR="005D22F8">
        <w:t>PFIDASS</w:t>
      </w:r>
      <w:r w:rsidRPr="00974C89">
        <w:t xml:space="preserve"> pourraient s’articuler avec la plateforme de l’assurance maladie (</w:t>
      </w:r>
      <w:r w:rsidR="005D22F8">
        <w:t>PFIDASS</w:t>
      </w:r>
      <w:r w:rsidRPr="00974C89">
        <w:t xml:space="preserve">) sans se confondre avec elle. Selon la CNAM, </w:t>
      </w:r>
      <w:r w:rsidR="005D22F8">
        <w:t>PFIDASS</w:t>
      </w:r>
      <w:r w:rsidRPr="00974C89">
        <w:t xml:space="preserve"> n’est pas redondant avec les </w:t>
      </w:r>
      <w:r w:rsidR="006F7976">
        <w:t>PTA</w:t>
      </w:r>
      <w:r w:rsidRPr="00974C89">
        <w:t xml:space="preserve"> qui visent plus à la coordination qu’à l’accompagnement et interviennent, en aval, lorsque la personne a déjà été repérée et am</w:t>
      </w:r>
      <w:r w:rsidR="00536C82">
        <w:t>enée vers le soin (</w:t>
      </w:r>
      <w:r w:rsidR="00536C82" w:rsidRPr="00EA1EEF">
        <w:rPr>
          <w:i/>
        </w:rPr>
        <w:t>cf.</w:t>
      </w:r>
      <w:r w:rsidR="00536C82">
        <w:t xml:space="preserve"> annexe 14</w:t>
      </w:r>
      <w:r w:rsidRPr="00974C89">
        <w:t xml:space="preserve">). </w:t>
      </w:r>
    </w:p>
    <w:p w14:paraId="360516D5" w14:textId="77777777" w:rsidR="00B0532D" w:rsidRDefault="00B0532D" w:rsidP="00974C89">
      <w:pPr>
        <w:pStyle w:val="Corpsdetexte"/>
      </w:pPr>
    </w:p>
    <w:p w14:paraId="7C49B162" w14:textId="49F6E75E" w:rsidR="00974C89" w:rsidRPr="00F01FB6" w:rsidRDefault="00974C89" w:rsidP="000B3633">
      <w:pPr>
        <w:pStyle w:val="EncadreCorpsdeTexte"/>
      </w:pPr>
      <w:r w:rsidRPr="00F01FB6">
        <w:t>Proposition n°1</w:t>
      </w:r>
      <w:r w:rsidR="00422705">
        <w:t>7</w:t>
      </w:r>
      <w:r w:rsidRPr="00F01FB6">
        <w:t xml:space="preserve"> - </w:t>
      </w:r>
      <w:r w:rsidR="00274E0E">
        <w:t>L</w:t>
      </w:r>
      <w:r w:rsidR="002C524F" w:rsidRPr="00F01FB6">
        <w:t>a mission propose</w:t>
      </w:r>
      <w:r w:rsidRPr="00F01FB6">
        <w:t xml:space="preserve"> d’élargir </w:t>
      </w:r>
      <w:r w:rsidR="005D22F8">
        <w:t>PFIDASS</w:t>
      </w:r>
      <w:r w:rsidRPr="00F01FB6">
        <w:t xml:space="preserve"> aux personnes en situation de handi</w:t>
      </w:r>
      <w:r w:rsidR="00B0532D" w:rsidRPr="00F01FB6">
        <w:t>cap</w:t>
      </w:r>
      <w:r w:rsidR="00056217" w:rsidRPr="00F01FB6">
        <w:t xml:space="preserve"> </w:t>
      </w:r>
      <w:r w:rsidR="002C524F" w:rsidRPr="00F01FB6">
        <w:t xml:space="preserve">pour mieux </w:t>
      </w:r>
      <w:r w:rsidR="00F01FB6">
        <w:t xml:space="preserve">les </w:t>
      </w:r>
      <w:r w:rsidR="002C524F" w:rsidRPr="00F01FB6">
        <w:t xml:space="preserve">détecter, </w:t>
      </w:r>
      <w:r w:rsidR="00F01FB6">
        <w:t xml:space="preserve">les </w:t>
      </w:r>
      <w:r w:rsidR="002C524F" w:rsidRPr="00F01FB6">
        <w:t>orienter</w:t>
      </w:r>
      <w:r w:rsidR="00F01FB6">
        <w:t xml:space="preserve"> et les</w:t>
      </w:r>
      <w:r w:rsidR="002C524F" w:rsidRPr="00F01FB6">
        <w:t xml:space="preserve"> accompagner</w:t>
      </w:r>
      <w:r w:rsidR="00B0532D" w:rsidRPr="00F01FB6">
        <w:t xml:space="preserve"> </w:t>
      </w:r>
      <w:r w:rsidR="002C524F" w:rsidRPr="00F01FB6">
        <w:t>en s’appuyant sur le développement de partenariats et l’utilisation des bases de données.</w:t>
      </w:r>
    </w:p>
    <w:p w14:paraId="04DE39FE" w14:textId="510552E1" w:rsidR="002C524F" w:rsidRPr="00F01FB6" w:rsidRDefault="002C524F" w:rsidP="000B3633">
      <w:pPr>
        <w:pStyle w:val="EncadreCorpsdeTexte"/>
      </w:pPr>
      <w:r w:rsidRPr="00F01FB6">
        <w:t>Cette plateforme serait un modèle coordonné, intersectoriel (ville et hôpital) et s’appuierait sur les outils techniques disponibles</w:t>
      </w:r>
      <w:r w:rsidRPr="00FA6F7B">
        <w:rPr>
          <w:vertAlign w:val="superscript"/>
        </w:rPr>
        <w:footnoteReference w:id="44"/>
      </w:r>
      <w:r w:rsidRPr="00F01FB6">
        <w:t>.</w:t>
      </w:r>
    </w:p>
    <w:p w14:paraId="544968B0" w14:textId="07ACC927" w:rsidR="002C524F" w:rsidRDefault="002C524F" w:rsidP="00F01FB6">
      <w:pPr>
        <w:pStyle w:val="Corpsdetexte"/>
      </w:pPr>
    </w:p>
    <w:p w14:paraId="1A30B9DE" w14:textId="267D3D5D" w:rsidR="00AF46DC" w:rsidRDefault="00974C89" w:rsidP="000B3633">
      <w:pPr>
        <w:pStyle w:val="EncadreCorpsdeTexte"/>
      </w:pPr>
      <w:r w:rsidRPr="00F01FB6">
        <w:t>Proposition n°</w:t>
      </w:r>
      <w:r w:rsidR="003728B0" w:rsidRPr="00F01FB6">
        <w:t>1</w:t>
      </w:r>
      <w:r w:rsidR="00422705">
        <w:t>8</w:t>
      </w:r>
      <w:r w:rsidRPr="00F01FB6">
        <w:t xml:space="preserve"> - La mission propose d’inclure les personnes précaires en situation irrégulière dans toutes les démarches positives d’accès aux droits et aux soins de l’</w:t>
      </w:r>
      <w:r w:rsidR="006F7976">
        <w:t>a</w:t>
      </w:r>
      <w:r w:rsidRPr="00F01FB6">
        <w:t xml:space="preserve">ssurance maladie au même titre que les autres personnes en situation de précarité sans distinction (parcours attentionnés migrants, </w:t>
      </w:r>
      <w:r w:rsidR="005D22F8">
        <w:t>PF</w:t>
      </w:r>
      <w:r w:rsidR="005D22F8">
        <w:t>I</w:t>
      </w:r>
      <w:r w:rsidR="005D22F8">
        <w:t>DASS</w:t>
      </w:r>
      <w:r w:rsidRPr="00F01FB6">
        <w:t>)</w:t>
      </w:r>
      <w:bookmarkStart w:id="342" w:name="_Toc453598927"/>
      <w:bookmarkEnd w:id="2"/>
      <w:bookmarkEnd w:id="336"/>
      <w:bookmarkEnd w:id="337"/>
      <w:r w:rsidR="00274E0E">
        <w:t>.</w:t>
      </w:r>
    </w:p>
    <w:p w14:paraId="5A573B6F" w14:textId="77777777" w:rsidR="003637D0" w:rsidRPr="003637D0" w:rsidRDefault="003637D0" w:rsidP="003637D0">
      <w:pPr>
        <w:pStyle w:val="Titre4"/>
      </w:pPr>
      <w:bookmarkStart w:id="343" w:name="_Toc523327687"/>
      <w:r w:rsidRPr="003637D0">
        <w:t>Intégrer les outils numériques dans les démarches favorisant l’accès aux soins</w:t>
      </w:r>
      <w:bookmarkEnd w:id="343"/>
    </w:p>
    <w:p w14:paraId="41AE2A60" w14:textId="60FA29A9" w:rsidR="007202E3" w:rsidRPr="00713CCA" w:rsidRDefault="007202E3" w:rsidP="00713CCA">
      <w:pPr>
        <w:pStyle w:val="Titre5"/>
        <w:rPr>
          <w:lang w:val="fr-BE"/>
        </w:rPr>
      </w:pPr>
      <w:r>
        <w:rPr>
          <w:lang w:val="fr-BE"/>
        </w:rPr>
        <w:t xml:space="preserve">Utiliser les outils numériques </w:t>
      </w:r>
      <w:r w:rsidR="00970FCF">
        <w:rPr>
          <w:lang w:val="fr-BE"/>
        </w:rPr>
        <w:t xml:space="preserve">d’aide à la communication </w:t>
      </w:r>
      <w:r>
        <w:rPr>
          <w:lang w:val="fr-BE"/>
        </w:rPr>
        <w:t>pour faciliter l’accès aux soins</w:t>
      </w:r>
    </w:p>
    <w:p w14:paraId="5F8FFD98" w14:textId="77777777" w:rsidR="003637D0" w:rsidRPr="003637D0" w:rsidRDefault="003637D0" w:rsidP="00181084">
      <w:pPr>
        <w:pStyle w:val="Corpsdetexte"/>
        <w:ind w:firstLine="284"/>
      </w:pPr>
      <w:r w:rsidRPr="003637D0">
        <w:t>De nombreuses applications numériques peuvent désormais offrir des services facilitant les démarches d’accès à la santé</w:t>
      </w:r>
      <w:r>
        <w:t xml:space="preserve">. </w:t>
      </w:r>
    </w:p>
    <w:p w14:paraId="32009C1E" w14:textId="2DA7CFDC" w:rsidR="003637D0" w:rsidRPr="003637D0" w:rsidRDefault="003637D0" w:rsidP="00181084">
      <w:pPr>
        <w:pStyle w:val="Corpsdetexte"/>
        <w:ind w:firstLine="284"/>
      </w:pPr>
      <w:r w:rsidRPr="003637D0">
        <w:t>Bien que la fracture numérique soit réelle pour certaines populations très précarisées, pour d’autres personnes, telles que les personnes migrantes ou les personnes mineures non accompagnées, le Smartphone est bien souvent le seul outil à leur disposition. Il existe aujourd’hui des applications permettant</w:t>
      </w:r>
      <w:r w:rsidR="00056217">
        <w:t xml:space="preserve"> de communiquer malgr</w:t>
      </w:r>
      <w:r w:rsidR="00785154">
        <w:t>é</w:t>
      </w:r>
      <w:r w:rsidR="00056217">
        <w:t xml:space="preserve"> des déf</w:t>
      </w:r>
      <w:r w:rsidR="00056217">
        <w:t>i</w:t>
      </w:r>
      <w:r w:rsidR="00056217">
        <w:t>ciences sensoriel</w:t>
      </w:r>
      <w:r w:rsidR="007B45FF">
        <w:t>le</w:t>
      </w:r>
      <w:r w:rsidR="00056217">
        <w:t>s,</w:t>
      </w:r>
      <w:r w:rsidRPr="003637D0">
        <w:t xml:space="preserve"> des traductions simultanées sécurisées dans de nombreuses langues permettant de faire face à l’absence d’interprètes. Ces applications permettent aux personnes de s’exprimer </w:t>
      </w:r>
      <w:r w:rsidR="00056217">
        <w:t>en fonction de leur déficience</w:t>
      </w:r>
      <w:r w:rsidR="000077A3">
        <w:t xml:space="preserve">, </w:t>
      </w:r>
      <w:r w:rsidRPr="003637D0">
        <w:t>dans leur langue et d’être comprises par leur interlocuteur lorsqu’il est équipé de cette même application : l’expression des besoins en soins, de la douleur, en est alors facilitée.</w:t>
      </w:r>
    </w:p>
    <w:p w14:paraId="5C71F3F4" w14:textId="07C6FE20" w:rsidR="003637D0" w:rsidRPr="003637D0" w:rsidRDefault="003637D0" w:rsidP="00181084">
      <w:pPr>
        <w:pStyle w:val="Corpsdetexte"/>
        <w:ind w:firstLine="284"/>
      </w:pPr>
      <w:r w:rsidRPr="003637D0">
        <w:t xml:space="preserve">L’application « Sante BD », qui met à disposition des fiches expliquant simplement l’intervention médicale avec des dessins et pictogrammes, s’avère être un excellent support de communication avec des personnes </w:t>
      </w:r>
      <w:r w:rsidR="00056217">
        <w:t xml:space="preserve">ayant des </w:t>
      </w:r>
      <w:r w:rsidR="007B45FF">
        <w:t xml:space="preserve">difficultés </w:t>
      </w:r>
      <w:r w:rsidR="00056217">
        <w:t xml:space="preserve">pour parler ou </w:t>
      </w:r>
      <w:r w:rsidRPr="003637D0">
        <w:t xml:space="preserve">ne </w:t>
      </w:r>
      <w:r>
        <w:t>parlant pas ou peu le français.</w:t>
      </w:r>
    </w:p>
    <w:p w14:paraId="1AA8B54E" w14:textId="19DDF1CF" w:rsidR="003637D0" w:rsidRPr="003637D0" w:rsidRDefault="002A4F72" w:rsidP="00181084">
      <w:pPr>
        <w:pStyle w:val="Corpsdetexte"/>
        <w:ind w:firstLine="284"/>
      </w:pPr>
      <w:r w:rsidRPr="003637D0">
        <w:t>Les rapporteurs recommandent de référencer les applications numériques</w:t>
      </w:r>
      <w:r>
        <w:t xml:space="preserve"> d’aide à la communication</w:t>
      </w:r>
      <w:r w:rsidRPr="003637D0">
        <w:t xml:space="preserve"> déjà exi</w:t>
      </w:r>
      <w:r w:rsidRPr="003637D0">
        <w:t>s</w:t>
      </w:r>
      <w:r w:rsidRPr="003637D0">
        <w:t>tantes et</w:t>
      </w:r>
      <w:r>
        <w:t xml:space="preserve"> d’en faciliter l’accès aux </w:t>
      </w:r>
      <w:r w:rsidRPr="003637D0">
        <w:t xml:space="preserve"> professionnels</w:t>
      </w:r>
      <w:r>
        <w:t>.</w:t>
      </w:r>
    </w:p>
    <w:p w14:paraId="103C6158" w14:textId="19354810" w:rsidR="00035989" w:rsidRPr="001D5DB2" w:rsidRDefault="00035989" w:rsidP="00035989">
      <w:pPr>
        <w:pStyle w:val="Titre5"/>
        <w:rPr>
          <w:lang w:val="fr-BE"/>
        </w:rPr>
      </w:pPr>
      <w:r w:rsidRPr="001D5DB2">
        <w:rPr>
          <w:lang w:val="fr-BE"/>
        </w:rPr>
        <w:lastRenderedPageBreak/>
        <w:t>Soutenir la mise en place de coffre-forts numériques</w:t>
      </w:r>
    </w:p>
    <w:p w14:paraId="4139A8A2" w14:textId="4307770C" w:rsidR="00E42243" w:rsidRPr="00B26FBA" w:rsidRDefault="00E42243" w:rsidP="00E42243">
      <w:pPr>
        <w:ind w:firstLine="284"/>
        <w:jc w:val="both"/>
      </w:pPr>
      <w:r w:rsidRPr="00B26FBA">
        <w:t xml:space="preserve">Les personnes en grande précarité voient trop souvent l’accès à leurs droits retardé en raison de la perte de certains documents administratifs ou </w:t>
      </w:r>
      <w:r>
        <w:t xml:space="preserve">de </w:t>
      </w:r>
      <w:r w:rsidRPr="00B26FBA">
        <w:t>pièces justificatives. Service sécurisé en ligne, le coffre-fort numérique peut faciliter l’accès aux droits et à l’accompagnement social des personnes concernées : il permet aux personnes de conserver leurs documents administratifs et</w:t>
      </w:r>
      <w:r w:rsidR="00152A9E">
        <w:t xml:space="preserve"> </w:t>
      </w:r>
      <w:r w:rsidRPr="00B26FBA">
        <w:t>/</w:t>
      </w:r>
      <w:r w:rsidR="00152A9E">
        <w:t xml:space="preserve"> </w:t>
      </w:r>
      <w:r w:rsidRPr="00B26FBA">
        <w:t>ou personnels </w:t>
      </w:r>
      <w:r w:rsidR="00191FCA">
        <w:t xml:space="preserve">et </w:t>
      </w:r>
      <w:r w:rsidRPr="00B26FBA">
        <w:t>d’y accéder sur Internet. L’utilisateur choisit la nature des documents qu’il souhaite conserver dans cet espace qui lui est personnel.</w:t>
      </w:r>
    </w:p>
    <w:p w14:paraId="5C071C1A" w14:textId="29B0956B" w:rsidR="00E42243" w:rsidRDefault="00E42243" w:rsidP="00E42243">
      <w:pPr>
        <w:ind w:firstLine="284"/>
        <w:jc w:val="both"/>
      </w:pPr>
      <w:r w:rsidRPr="00B26FBA">
        <w:t xml:space="preserve">À l’issue de l’expérimentation menée par </w:t>
      </w:r>
      <w:r>
        <w:t>1</w:t>
      </w:r>
      <w:r w:rsidRPr="00B26FBA">
        <w:t xml:space="preserve">6 CCAS en partenariat avec la </w:t>
      </w:r>
      <w:r w:rsidR="00191FCA" w:rsidRPr="00191FCA">
        <w:t>Direction générale de la cohésion s</w:t>
      </w:r>
      <w:r w:rsidR="00191FCA" w:rsidRPr="00191FCA">
        <w:t>o</w:t>
      </w:r>
      <w:r w:rsidR="00191FCA" w:rsidRPr="00191FCA">
        <w:t xml:space="preserve">ciale </w:t>
      </w:r>
      <w:r w:rsidR="00191FCA">
        <w:t>(</w:t>
      </w:r>
      <w:r w:rsidRPr="00B26FBA">
        <w:t>DGCS</w:t>
      </w:r>
      <w:r w:rsidR="00191FCA">
        <w:t>)</w:t>
      </w:r>
      <w:r w:rsidRPr="00B26FBA">
        <w:t xml:space="preserve"> dans le cadre du Plan pluriannuel contre la pauvreté et pour l’inclusion sociale</w:t>
      </w:r>
      <w:r w:rsidRPr="00862F8F">
        <w:rPr>
          <w:rStyle w:val="Appelnotedebasdep"/>
        </w:rPr>
        <w:footnoteReference w:id="45"/>
      </w:r>
      <w:r w:rsidRPr="00B26FBA">
        <w:t>, mais également par ATD quart monde ou par certains organismes complémentaires, cet outil est particulièrement plébiscité par l</w:t>
      </w:r>
      <w:r w:rsidRPr="006C361B">
        <w:t xml:space="preserve">es structures et établissements accueillant ou hébergeant des personnes en grande difficulté et qui leur proposent un accompagnement social. </w:t>
      </w:r>
    </w:p>
    <w:p w14:paraId="5357AF37" w14:textId="77777777" w:rsidR="00E42243" w:rsidRDefault="00E42243" w:rsidP="00E42243">
      <w:pPr>
        <w:ind w:firstLine="284"/>
        <w:jc w:val="both"/>
      </w:pPr>
    </w:p>
    <w:p w14:paraId="191BCDE0" w14:textId="6F641748" w:rsidR="003637D0" w:rsidRDefault="003637D0" w:rsidP="003637D0">
      <w:pPr>
        <w:pStyle w:val="EncadreCorpsdeTexte"/>
      </w:pPr>
      <w:r w:rsidRPr="003637D0">
        <w:t>Proposition n°</w:t>
      </w:r>
      <w:r w:rsidR="003728B0">
        <w:t>1</w:t>
      </w:r>
      <w:r w:rsidR="00422705">
        <w:t>9</w:t>
      </w:r>
      <w:r w:rsidRPr="003637D0">
        <w:t xml:space="preserve"> - La mission recommande d’intégrer les outils « numériques » pour améliorer l’accès à la santé </w:t>
      </w:r>
      <w:r w:rsidR="00955F99">
        <w:t>(outils pédagogiques, coffres-fort numériques pour les plus fragiles)</w:t>
      </w:r>
      <w:r w:rsidR="00785154">
        <w:t>.</w:t>
      </w:r>
    </w:p>
    <w:p w14:paraId="2030C222" w14:textId="4A9D4D3F" w:rsidR="003637D0" w:rsidRPr="003637D0" w:rsidRDefault="003637D0" w:rsidP="003637D0">
      <w:pPr>
        <w:pStyle w:val="Titre3"/>
      </w:pPr>
      <w:bookmarkStart w:id="344" w:name="_Toc518988111"/>
      <w:bookmarkStart w:id="345" w:name="_Toc519012601"/>
      <w:bookmarkStart w:id="346" w:name="_Toc519013363"/>
      <w:bookmarkStart w:id="347" w:name="_Toc519013451"/>
      <w:bookmarkStart w:id="348" w:name="_Toc519013539"/>
      <w:bookmarkStart w:id="349" w:name="_Toc519013627"/>
      <w:bookmarkStart w:id="350" w:name="_Toc519013715"/>
      <w:bookmarkStart w:id="351" w:name="_Toc519013944"/>
      <w:bookmarkStart w:id="352" w:name="_Toc519014448"/>
      <w:bookmarkStart w:id="353" w:name="_Toc519014950"/>
      <w:bookmarkStart w:id="354" w:name="_Toc519018185"/>
      <w:bookmarkStart w:id="355" w:name="_Toc519018326"/>
      <w:bookmarkStart w:id="356" w:name="_Toc518988112"/>
      <w:bookmarkStart w:id="357" w:name="_Toc519012602"/>
      <w:bookmarkStart w:id="358" w:name="_Toc519013364"/>
      <w:bookmarkStart w:id="359" w:name="_Toc519013452"/>
      <w:bookmarkStart w:id="360" w:name="_Toc519013540"/>
      <w:bookmarkStart w:id="361" w:name="_Toc519013628"/>
      <w:bookmarkStart w:id="362" w:name="_Toc519013716"/>
      <w:bookmarkStart w:id="363" w:name="_Toc519013945"/>
      <w:bookmarkStart w:id="364" w:name="_Toc519014449"/>
      <w:bookmarkStart w:id="365" w:name="_Toc519014951"/>
      <w:bookmarkStart w:id="366" w:name="_Toc519018186"/>
      <w:bookmarkStart w:id="367" w:name="_Toc519018327"/>
      <w:bookmarkStart w:id="368" w:name="_Toc518988113"/>
      <w:bookmarkStart w:id="369" w:name="_Toc519012603"/>
      <w:bookmarkStart w:id="370" w:name="_Toc519013365"/>
      <w:bookmarkStart w:id="371" w:name="_Toc519013453"/>
      <w:bookmarkStart w:id="372" w:name="_Toc519013541"/>
      <w:bookmarkStart w:id="373" w:name="_Toc519013629"/>
      <w:bookmarkStart w:id="374" w:name="_Toc519013717"/>
      <w:bookmarkStart w:id="375" w:name="_Toc519013946"/>
      <w:bookmarkStart w:id="376" w:name="_Toc519014450"/>
      <w:bookmarkStart w:id="377" w:name="_Toc519014952"/>
      <w:bookmarkStart w:id="378" w:name="_Toc519018187"/>
      <w:bookmarkStart w:id="379" w:name="_Toc519018328"/>
      <w:bookmarkStart w:id="380" w:name="_Toc518988114"/>
      <w:bookmarkStart w:id="381" w:name="_Toc519012604"/>
      <w:bookmarkStart w:id="382" w:name="_Toc519013366"/>
      <w:bookmarkStart w:id="383" w:name="_Toc519013454"/>
      <w:bookmarkStart w:id="384" w:name="_Toc519013542"/>
      <w:bookmarkStart w:id="385" w:name="_Toc519013630"/>
      <w:bookmarkStart w:id="386" w:name="_Toc519013718"/>
      <w:bookmarkStart w:id="387" w:name="_Toc519013947"/>
      <w:bookmarkStart w:id="388" w:name="_Toc519014451"/>
      <w:bookmarkStart w:id="389" w:name="_Toc519014953"/>
      <w:bookmarkStart w:id="390" w:name="_Toc519018188"/>
      <w:bookmarkStart w:id="391" w:name="_Toc519018329"/>
      <w:bookmarkStart w:id="392" w:name="_Toc518988115"/>
      <w:bookmarkStart w:id="393" w:name="_Toc519012605"/>
      <w:bookmarkStart w:id="394" w:name="_Toc519013367"/>
      <w:bookmarkStart w:id="395" w:name="_Toc519013455"/>
      <w:bookmarkStart w:id="396" w:name="_Toc519013543"/>
      <w:bookmarkStart w:id="397" w:name="_Toc519013631"/>
      <w:bookmarkStart w:id="398" w:name="_Toc519013719"/>
      <w:bookmarkStart w:id="399" w:name="_Toc519013948"/>
      <w:bookmarkStart w:id="400" w:name="_Toc519014452"/>
      <w:bookmarkStart w:id="401" w:name="_Toc519014954"/>
      <w:bookmarkStart w:id="402" w:name="_Toc519018189"/>
      <w:bookmarkStart w:id="403" w:name="_Toc519018330"/>
      <w:bookmarkStart w:id="404" w:name="_Toc518988116"/>
      <w:bookmarkStart w:id="405" w:name="_Toc519012606"/>
      <w:bookmarkStart w:id="406" w:name="_Toc519013368"/>
      <w:bookmarkStart w:id="407" w:name="_Toc519013456"/>
      <w:bookmarkStart w:id="408" w:name="_Toc519013544"/>
      <w:bookmarkStart w:id="409" w:name="_Toc519013632"/>
      <w:bookmarkStart w:id="410" w:name="_Toc519013720"/>
      <w:bookmarkStart w:id="411" w:name="_Toc519013949"/>
      <w:bookmarkStart w:id="412" w:name="_Toc519014453"/>
      <w:bookmarkStart w:id="413" w:name="_Toc519014955"/>
      <w:bookmarkStart w:id="414" w:name="_Toc519018190"/>
      <w:bookmarkStart w:id="415" w:name="_Toc519018331"/>
      <w:bookmarkStart w:id="416" w:name="_Toc518935623"/>
      <w:bookmarkStart w:id="417" w:name="_Toc518750563"/>
      <w:bookmarkStart w:id="418" w:name="_Toc523327688"/>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3637D0">
        <w:t>Amener le soin aux plus fragiles</w:t>
      </w:r>
      <w:bookmarkEnd w:id="418"/>
      <w:r w:rsidRPr="003637D0">
        <w:t xml:space="preserve"> </w:t>
      </w:r>
      <w:bookmarkEnd w:id="417"/>
    </w:p>
    <w:p w14:paraId="0994526B" w14:textId="77777777" w:rsidR="003637D0" w:rsidRPr="003637D0" w:rsidRDefault="003637D0" w:rsidP="00181084">
      <w:pPr>
        <w:pStyle w:val="Corpsdetexte"/>
        <w:ind w:firstLine="284"/>
      </w:pPr>
      <w:r w:rsidRPr="003637D0">
        <w:t>Une majeure partie des personnes en situation de grande précarité ainsi que des personnes handicapées ont renoncé à se faire soigner. Il est nécessaire d’aller vers elles afin de leur prodiguer les soins nécessaires et de les ramener vers le système de santé de droit commun.</w:t>
      </w:r>
    </w:p>
    <w:p w14:paraId="7886F2C4" w14:textId="6F8F7158" w:rsidR="003637D0" w:rsidRPr="003637D0" w:rsidRDefault="00CF0E88" w:rsidP="00AB729D">
      <w:pPr>
        <w:pStyle w:val="Titre4"/>
      </w:pPr>
      <w:bookmarkStart w:id="419" w:name="_Toc523327689"/>
      <w:r>
        <w:t xml:space="preserve">Ramener </w:t>
      </w:r>
      <w:r w:rsidR="003637D0" w:rsidRPr="003637D0">
        <w:t>les personnes sans-domicile fixe dans le système de soins</w:t>
      </w:r>
      <w:bookmarkEnd w:id="419"/>
    </w:p>
    <w:p w14:paraId="75E4893B" w14:textId="6A46618A" w:rsidR="00CD664A" w:rsidRPr="00983748" w:rsidRDefault="00CD664A" w:rsidP="00AB729D">
      <w:pPr>
        <w:pStyle w:val="Titre5"/>
      </w:pPr>
      <w:r w:rsidRPr="00983748">
        <w:t xml:space="preserve">Doter </w:t>
      </w:r>
      <w:r>
        <w:t xml:space="preserve">les </w:t>
      </w:r>
      <w:r w:rsidR="00A91DEF">
        <w:t>dispositifs</w:t>
      </w:r>
      <w:r>
        <w:t xml:space="preserve"> du </w:t>
      </w:r>
      <w:r w:rsidR="00616FB1">
        <w:t>« </w:t>
      </w:r>
      <w:r>
        <w:t>aller-vers</w:t>
      </w:r>
      <w:r w:rsidR="00616FB1">
        <w:t xml:space="preserve"> » de financements </w:t>
      </w:r>
      <w:r>
        <w:t>pérennes</w:t>
      </w:r>
    </w:p>
    <w:p w14:paraId="6C1C328D" w14:textId="4AD95388" w:rsidR="003637D0" w:rsidRPr="003637D0" w:rsidRDefault="007D64B4" w:rsidP="00181084">
      <w:pPr>
        <w:pStyle w:val="Corpsdetexte"/>
        <w:ind w:firstLine="284"/>
      </w:pPr>
      <w:r>
        <w:t>L</w:t>
      </w:r>
      <w:r w:rsidRPr="003637D0">
        <w:t xml:space="preserve">es dispositifs </w:t>
      </w:r>
      <w:r>
        <w:t>du « aller-vers » (perman</w:t>
      </w:r>
      <w:r w:rsidR="00A74890">
        <w:t>en</w:t>
      </w:r>
      <w:r>
        <w:t xml:space="preserve">ces d’accès aux soins mobiles, équipes mobiles psychiatrie précarité, </w:t>
      </w:r>
      <w:r w:rsidRPr="00A74890">
        <w:t>bucco-dentaire</w:t>
      </w:r>
      <w:r w:rsidR="00A74890">
        <w:t>s</w:t>
      </w:r>
      <w:r w:rsidR="00B46142">
        <w:t>, etc.</w:t>
      </w:r>
      <w:r>
        <w:t xml:space="preserve">) </w:t>
      </w:r>
      <w:r w:rsidRPr="003637D0">
        <w:t>permettent à des équipes pluridisciplinaires d’aller vers les personnes et de les</w:t>
      </w:r>
      <w:r>
        <w:t xml:space="preserve"> soigner et les</w:t>
      </w:r>
      <w:r w:rsidRPr="003637D0">
        <w:t xml:space="preserve"> orienter vers le système de santé.</w:t>
      </w:r>
      <w:r>
        <w:t xml:space="preserve"> </w:t>
      </w:r>
      <w:r w:rsidR="008E43B1">
        <w:t xml:space="preserve"> A la frontière du sanitaire et du social, i</w:t>
      </w:r>
      <w:r w:rsidR="003637D0" w:rsidRPr="003637D0">
        <w:t xml:space="preserve">ls ont prouvé leur efficacité et sont </w:t>
      </w:r>
      <w:r w:rsidR="00A91DEF" w:rsidRPr="003637D0">
        <w:t>pl</w:t>
      </w:r>
      <w:r w:rsidR="00A91DEF" w:rsidRPr="003637D0">
        <w:t>é</w:t>
      </w:r>
      <w:r w:rsidR="00A91DEF" w:rsidRPr="003637D0">
        <w:t>biscités</w:t>
      </w:r>
      <w:r w:rsidR="003637D0" w:rsidRPr="003637D0">
        <w:t xml:space="preserve"> par l’ensemble des acteurs sanitaires et médico-sociaux. Cependant, ils restent insuffisants en nombre et mal répartis sur le territoire</w:t>
      </w:r>
      <w:r w:rsidR="003637D0" w:rsidRPr="003637D0">
        <w:rPr>
          <w:vertAlign w:val="superscript"/>
        </w:rPr>
        <w:footnoteReference w:id="46"/>
      </w:r>
      <w:r w:rsidR="00470B0E">
        <w:t xml:space="preserve"> et</w:t>
      </w:r>
      <w:r w:rsidR="008E43B1">
        <w:t xml:space="preserve"> </w:t>
      </w:r>
      <w:r w:rsidR="008E43B1" w:rsidRPr="00983748">
        <w:t>peinent à trouver des financements</w:t>
      </w:r>
      <w:r w:rsidR="00470B0E">
        <w:t>.</w:t>
      </w:r>
    </w:p>
    <w:p w14:paraId="04F58EB3" w14:textId="26B79D5E" w:rsidR="00983748" w:rsidRPr="00983748" w:rsidRDefault="003637D0" w:rsidP="00AB729D">
      <w:pPr>
        <w:pStyle w:val="EncadreCorpsdeTexte"/>
        <w:ind w:left="0"/>
      </w:pPr>
      <w:r w:rsidRPr="003637D0">
        <w:t>Proposition n°</w:t>
      </w:r>
      <w:r w:rsidR="00422705">
        <w:t>20</w:t>
      </w:r>
      <w:r w:rsidR="003728B0" w:rsidRPr="003637D0">
        <w:t xml:space="preserve"> </w:t>
      </w:r>
      <w:r w:rsidR="00A63D71">
        <w:t>–</w:t>
      </w:r>
      <w:r w:rsidRPr="003637D0">
        <w:t xml:space="preserve"> </w:t>
      </w:r>
      <w:r w:rsidR="003728B0">
        <w:t>D</w:t>
      </w:r>
      <w:r w:rsidR="00A63D71">
        <w:t xml:space="preserve">oter les </w:t>
      </w:r>
      <w:r w:rsidR="00A63D71" w:rsidRPr="003637D0">
        <w:t>dispositifs mobiles du « aller-vers »</w:t>
      </w:r>
      <w:r w:rsidR="00A63D71">
        <w:t xml:space="preserve"> de financements pérennes et </w:t>
      </w:r>
      <w:r w:rsidRPr="003637D0">
        <w:t>assurer une mei</w:t>
      </w:r>
      <w:r w:rsidRPr="003637D0">
        <w:t>l</w:t>
      </w:r>
      <w:r w:rsidRPr="003637D0">
        <w:t xml:space="preserve">leure couverture </w:t>
      </w:r>
      <w:r w:rsidR="00A63D71">
        <w:t xml:space="preserve">de ces </w:t>
      </w:r>
      <w:r w:rsidR="00A91DEF">
        <w:t>dispositifs</w:t>
      </w:r>
      <w:r w:rsidR="00A63D71">
        <w:t xml:space="preserve"> sur le territoire</w:t>
      </w:r>
    </w:p>
    <w:p w14:paraId="04A68B74" w14:textId="488D910B" w:rsidR="00DA6E59" w:rsidRPr="00983748" w:rsidRDefault="00DA6E59" w:rsidP="00AB729D">
      <w:pPr>
        <w:pStyle w:val="Titre5"/>
      </w:pPr>
      <w:r w:rsidRPr="00983748">
        <w:t xml:space="preserve">Doter les structures d’hébergement en </w:t>
      </w:r>
      <w:r w:rsidR="005639D6">
        <w:t>compétences</w:t>
      </w:r>
      <w:r w:rsidRPr="00983748">
        <w:t xml:space="preserve"> soignant</w:t>
      </w:r>
      <w:r w:rsidR="005639D6">
        <w:t>es</w:t>
      </w:r>
    </w:p>
    <w:p w14:paraId="5B701070" w14:textId="0C376718" w:rsidR="00983748" w:rsidRPr="00983748" w:rsidRDefault="00983748" w:rsidP="00181084">
      <w:pPr>
        <w:pStyle w:val="Corpsdetexte"/>
        <w:ind w:firstLine="284"/>
      </w:pPr>
      <w:r w:rsidRPr="00983748">
        <w:t xml:space="preserve">Les budgets alloués aux centres d’hébergement </w:t>
      </w:r>
      <w:r w:rsidR="007C4A02">
        <w:t xml:space="preserve">(centres d’hébergement d’urgence </w:t>
      </w:r>
      <w:r w:rsidR="007C1206">
        <w:t xml:space="preserve">- </w:t>
      </w:r>
      <w:r w:rsidR="007C4A02">
        <w:t>CHU</w:t>
      </w:r>
      <w:r w:rsidR="007C1206">
        <w:t xml:space="preserve"> -</w:t>
      </w:r>
      <w:r w:rsidR="007C4A02">
        <w:t xml:space="preserve">, centres d’hébergement et de réinsertion sociale </w:t>
      </w:r>
      <w:r w:rsidR="007C1206">
        <w:t xml:space="preserve">- </w:t>
      </w:r>
      <w:r w:rsidR="007C4A02">
        <w:t>CHRS</w:t>
      </w:r>
      <w:r w:rsidR="007C1206">
        <w:t xml:space="preserve"> -</w:t>
      </w:r>
      <w:r w:rsidR="007C4A02">
        <w:t xml:space="preserve">, centres d’accueil pour demandeurs d’asile </w:t>
      </w:r>
      <w:r w:rsidR="007C1206">
        <w:t xml:space="preserve">- </w:t>
      </w:r>
      <w:r w:rsidR="007C4A02">
        <w:t>CADA</w:t>
      </w:r>
      <w:r w:rsidR="007C1206">
        <w:t xml:space="preserve"> -</w:t>
      </w:r>
      <w:r w:rsidR="007C4A02">
        <w:t>,</w:t>
      </w:r>
      <w:r w:rsidR="00B46142">
        <w:t xml:space="preserve"> etc.</w:t>
      </w:r>
      <w:r w:rsidR="007C4A02">
        <w:t>)</w:t>
      </w:r>
      <w:r w:rsidR="00436F07">
        <w:t xml:space="preserve"> </w:t>
      </w:r>
      <w:r w:rsidRPr="00983748">
        <w:t>ne leur permettent pas de bénéficier d’une présence soignante</w:t>
      </w:r>
      <w:r w:rsidR="00056217">
        <w:t xml:space="preserve"> adaptée</w:t>
      </w:r>
      <w:r w:rsidRPr="00983748">
        <w:t xml:space="preserve"> auprès des personnes hébergées. Pourtant, leurs besoins en santé sont particulièrement importants et les personnes trouvent difficilement leur place dans le sy</w:t>
      </w:r>
      <w:r w:rsidRPr="00983748">
        <w:t>s</w:t>
      </w:r>
      <w:r w:rsidRPr="00983748">
        <w:t xml:space="preserve">tème dit « de droit commun » du fait notamment de leur désocialisation mais également de pratiques décourageantes voire excluantes des services de soins (y compris les services d’urgence). </w:t>
      </w:r>
    </w:p>
    <w:p w14:paraId="7533875B" w14:textId="77777777" w:rsidR="00983748" w:rsidRPr="00983748" w:rsidRDefault="00983748" w:rsidP="00181084">
      <w:pPr>
        <w:pStyle w:val="Corpsdetexte"/>
        <w:ind w:firstLine="284"/>
      </w:pPr>
      <w:r w:rsidRPr="00983748">
        <w:lastRenderedPageBreak/>
        <w:t>En cas de dégradation importante de l’état de santé, le recours aux services d’urgence par les représentants des centres d’hébergements peut se révéler compliqué faute d’interlocuteur jugé compétent pour déterminer la critic</w:t>
      </w:r>
      <w:r w:rsidRPr="00983748">
        <w:t>i</w:t>
      </w:r>
      <w:r w:rsidRPr="00983748">
        <w:t xml:space="preserve">té d’une intervention. </w:t>
      </w:r>
    </w:p>
    <w:p w14:paraId="1CEF7901" w14:textId="447ACC06" w:rsidR="00A15751" w:rsidRDefault="00983748" w:rsidP="00181084">
      <w:pPr>
        <w:pStyle w:val="Corpsdetexte"/>
        <w:ind w:firstLine="284"/>
      </w:pPr>
      <w:r w:rsidRPr="00983748">
        <w:t xml:space="preserve">La présence de personnel soignant </w:t>
      </w:r>
      <w:r w:rsidR="007C1206">
        <w:t>-</w:t>
      </w:r>
      <w:r w:rsidRPr="00983748">
        <w:t xml:space="preserve"> selon des modalités à définir (ressources partagées, télémédecine, etc.)</w:t>
      </w:r>
      <w:r w:rsidR="007C1206">
        <w:t xml:space="preserve"> -</w:t>
      </w:r>
      <w:r w:rsidRPr="00983748">
        <w:t xml:space="preserve"> permettrait un meilleur accès aux soins ainsi qu’une meilleure observance des soins. </w:t>
      </w:r>
    </w:p>
    <w:p w14:paraId="23990880" w14:textId="0DBA7F7A" w:rsidR="00A4261B" w:rsidRDefault="00A4261B" w:rsidP="00C71318">
      <w:pPr>
        <w:pStyle w:val="Default"/>
        <w:jc w:val="both"/>
        <w:rPr>
          <w:rFonts w:ascii="Calibri" w:eastAsia="Calibri" w:hAnsi="Calibri"/>
          <w:color w:val="1A171B"/>
          <w:sz w:val="20"/>
          <w:szCs w:val="20"/>
          <w:lang w:eastAsia="en-US"/>
        </w:rPr>
      </w:pPr>
      <w:r w:rsidRPr="00DF53E5">
        <w:rPr>
          <w:rFonts w:ascii="Calibri" w:eastAsia="Calibri" w:hAnsi="Calibri"/>
          <w:color w:val="1A171B"/>
          <w:sz w:val="20"/>
          <w:szCs w:val="20"/>
          <w:lang w:eastAsia="en-US"/>
        </w:rPr>
        <w:t>Par ailleurs, la mission rappelle que les</w:t>
      </w:r>
      <w:r w:rsidR="00C71318" w:rsidRPr="00C71318">
        <w:rPr>
          <w:sz w:val="20"/>
          <w:szCs w:val="20"/>
        </w:rPr>
        <w:t xml:space="preserve"> </w:t>
      </w:r>
      <w:r w:rsidR="00C71318" w:rsidRPr="00DF53E5">
        <w:rPr>
          <w:rFonts w:ascii="Calibri" w:eastAsia="Calibri" w:hAnsi="Calibri"/>
          <w:color w:val="1A171B"/>
          <w:sz w:val="20"/>
          <w:szCs w:val="20"/>
          <w:lang w:eastAsia="en-US"/>
        </w:rPr>
        <w:t>Services intégrés d’accueil et d’orientation</w:t>
      </w:r>
      <w:r w:rsidR="00C71318">
        <w:rPr>
          <w:sz w:val="20"/>
          <w:szCs w:val="20"/>
        </w:rPr>
        <w:t xml:space="preserve"> (</w:t>
      </w:r>
      <w:r w:rsidRPr="00DF53E5">
        <w:rPr>
          <w:rFonts w:ascii="Calibri" w:eastAsia="Calibri" w:hAnsi="Calibri"/>
          <w:color w:val="1A171B"/>
          <w:sz w:val="20"/>
          <w:szCs w:val="20"/>
          <w:lang w:eastAsia="en-US"/>
        </w:rPr>
        <w:t>SIAO</w:t>
      </w:r>
      <w:r w:rsidR="00C71318">
        <w:rPr>
          <w:rFonts w:ascii="Calibri" w:eastAsia="Calibri" w:hAnsi="Calibri"/>
          <w:color w:val="1A171B"/>
          <w:sz w:val="20"/>
          <w:szCs w:val="20"/>
          <w:lang w:eastAsia="en-US"/>
        </w:rPr>
        <w:t>)</w:t>
      </w:r>
      <w:r w:rsidRPr="00DF53E5">
        <w:rPr>
          <w:rFonts w:ascii="Calibri" w:eastAsia="Calibri" w:hAnsi="Calibri"/>
          <w:color w:val="1A171B"/>
          <w:sz w:val="20"/>
          <w:szCs w:val="20"/>
          <w:lang w:eastAsia="en-US"/>
        </w:rPr>
        <w:t xml:space="preserve"> sont chargés « de veiller à la réalisation d'une évaluation sociale, médicale et psychique »</w:t>
      </w:r>
      <w:r>
        <w:rPr>
          <w:rFonts w:ascii="Calibri" w:eastAsia="Calibri" w:hAnsi="Calibri"/>
          <w:color w:val="1A171B"/>
          <w:sz w:val="20"/>
          <w:szCs w:val="20"/>
          <w:lang w:eastAsia="en-US"/>
        </w:rPr>
        <w:t xml:space="preserve"> des personnes accompagnées </w:t>
      </w:r>
      <w:r w:rsidRPr="00DF53E5">
        <w:rPr>
          <w:rFonts w:ascii="Calibri" w:eastAsia="Calibri" w:hAnsi="Calibri"/>
          <w:color w:val="1A171B"/>
          <w:sz w:val="20"/>
          <w:szCs w:val="20"/>
          <w:lang w:eastAsia="en-US"/>
        </w:rPr>
        <w:t>et leur faire des pr</w:t>
      </w:r>
      <w:r w:rsidRPr="00DF53E5">
        <w:rPr>
          <w:rFonts w:ascii="Calibri" w:eastAsia="Calibri" w:hAnsi="Calibri"/>
          <w:color w:val="1A171B"/>
          <w:sz w:val="20"/>
          <w:szCs w:val="20"/>
          <w:lang w:eastAsia="en-US"/>
        </w:rPr>
        <w:t>o</w:t>
      </w:r>
      <w:r w:rsidRPr="00DF53E5">
        <w:rPr>
          <w:rFonts w:ascii="Calibri" w:eastAsia="Calibri" w:hAnsi="Calibri"/>
          <w:color w:val="1A171B"/>
          <w:sz w:val="20"/>
          <w:szCs w:val="20"/>
          <w:lang w:eastAsia="en-US"/>
        </w:rPr>
        <w:t>positions d'orientation adaptées</w:t>
      </w:r>
      <w:r w:rsidRPr="00DF53E5">
        <w:rPr>
          <w:rFonts w:asciiTheme="minorHAnsi" w:hAnsiTheme="minorHAnsi"/>
          <w:sz w:val="20"/>
          <w:vertAlign w:val="superscript"/>
        </w:rPr>
        <w:footnoteReference w:id="47"/>
      </w:r>
      <w:r>
        <w:rPr>
          <w:sz w:val="20"/>
          <w:szCs w:val="20"/>
        </w:rPr>
        <w:t xml:space="preserve">. </w:t>
      </w:r>
    </w:p>
    <w:p w14:paraId="4C80586D" w14:textId="35F1E6E2" w:rsidR="00C71318" w:rsidRPr="00C71318" w:rsidRDefault="00C71318" w:rsidP="00181084">
      <w:pPr>
        <w:autoSpaceDE w:val="0"/>
        <w:autoSpaceDN w:val="0"/>
        <w:adjustRightInd w:val="0"/>
        <w:ind w:firstLine="284"/>
        <w:jc w:val="both"/>
        <w:rPr>
          <w:szCs w:val="20"/>
        </w:rPr>
      </w:pPr>
      <w:r>
        <w:rPr>
          <w:szCs w:val="20"/>
        </w:rPr>
        <w:t xml:space="preserve">Si le SIAO ne peut pas être </w:t>
      </w:r>
      <w:r w:rsidR="00371D60">
        <w:rPr>
          <w:szCs w:val="20"/>
        </w:rPr>
        <w:t xml:space="preserve">directement </w:t>
      </w:r>
      <w:r>
        <w:rPr>
          <w:szCs w:val="20"/>
        </w:rPr>
        <w:t xml:space="preserve">prescripteur d’une admission vers des dispositifs type </w:t>
      </w:r>
      <w:r w:rsidR="007C1206" w:rsidRPr="007C1206">
        <w:rPr>
          <w:szCs w:val="20"/>
        </w:rPr>
        <w:t xml:space="preserve">Lit halte soins santé </w:t>
      </w:r>
      <w:r w:rsidR="007C1206">
        <w:rPr>
          <w:szCs w:val="20"/>
        </w:rPr>
        <w:t>(</w:t>
      </w:r>
      <w:r>
        <w:rPr>
          <w:szCs w:val="20"/>
        </w:rPr>
        <w:t>LHSS</w:t>
      </w:r>
      <w:r w:rsidR="007C1206">
        <w:rPr>
          <w:szCs w:val="20"/>
        </w:rPr>
        <w:t>)</w:t>
      </w:r>
      <w:r>
        <w:rPr>
          <w:szCs w:val="20"/>
        </w:rPr>
        <w:t xml:space="preserve">, </w:t>
      </w:r>
      <w:r w:rsidR="00620750" w:rsidRPr="00620750">
        <w:rPr>
          <w:szCs w:val="20"/>
        </w:rPr>
        <w:t>Lit</w:t>
      </w:r>
      <w:r w:rsidR="00620750">
        <w:rPr>
          <w:szCs w:val="20"/>
        </w:rPr>
        <w:t xml:space="preserve"> d'accueil médicalisé</w:t>
      </w:r>
      <w:r w:rsidR="00620750" w:rsidRPr="00620750">
        <w:rPr>
          <w:szCs w:val="20"/>
        </w:rPr>
        <w:t xml:space="preserve"> </w:t>
      </w:r>
      <w:r w:rsidR="00620750">
        <w:rPr>
          <w:szCs w:val="20"/>
        </w:rPr>
        <w:t>(</w:t>
      </w:r>
      <w:r>
        <w:rPr>
          <w:szCs w:val="20"/>
        </w:rPr>
        <w:t>LAM</w:t>
      </w:r>
      <w:r w:rsidR="00620750">
        <w:rPr>
          <w:szCs w:val="20"/>
        </w:rPr>
        <w:t>)</w:t>
      </w:r>
      <w:r>
        <w:rPr>
          <w:szCs w:val="20"/>
        </w:rPr>
        <w:t xml:space="preserve">, </w:t>
      </w:r>
      <w:r w:rsidR="00620750">
        <w:rPr>
          <w:szCs w:val="20"/>
        </w:rPr>
        <w:t>Appartement de coordination t</w:t>
      </w:r>
      <w:r w:rsidR="00620750" w:rsidRPr="00620750">
        <w:rPr>
          <w:szCs w:val="20"/>
        </w:rPr>
        <w:t xml:space="preserve">hérapeutique </w:t>
      </w:r>
      <w:r w:rsidR="00470B0E">
        <w:rPr>
          <w:szCs w:val="20"/>
        </w:rPr>
        <w:t>(</w:t>
      </w:r>
      <w:r>
        <w:rPr>
          <w:szCs w:val="20"/>
        </w:rPr>
        <w:t>ACT</w:t>
      </w:r>
      <w:r w:rsidR="00470B0E">
        <w:rPr>
          <w:szCs w:val="20"/>
        </w:rPr>
        <w:t>)</w:t>
      </w:r>
      <w:r>
        <w:rPr>
          <w:szCs w:val="20"/>
        </w:rPr>
        <w:t xml:space="preserve"> (qui ne peut se faire que sur décision d’un médecin de la structure), il peut toutefois </w:t>
      </w:r>
      <w:r w:rsidRPr="00DF53E5">
        <w:rPr>
          <w:szCs w:val="20"/>
        </w:rPr>
        <w:t>mettre en lien la personne demandeuse d’informations ou le médecin suivant la personne avec le médecin en responsabilité du LHSS.</w:t>
      </w:r>
      <w:r w:rsidR="00371D60" w:rsidRPr="00371D60">
        <w:rPr>
          <w:szCs w:val="20"/>
        </w:rPr>
        <w:t xml:space="preserve"> </w:t>
      </w:r>
      <w:r w:rsidR="00371D60" w:rsidRPr="0039618F">
        <w:rPr>
          <w:szCs w:val="20"/>
        </w:rPr>
        <w:t>Or</w:t>
      </w:r>
      <w:r w:rsidR="00A52D81">
        <w:rPr>
          <w:szCs w:val="20"/>
        </w:rPr>
        <w:t xml:space="preserve">, </w:t>
      </w:r>
      <w:r w:rsidR="00371D60" w:rsidRPr="0039618F">
        <w:rPr>
          <w:szCs w:val="20"/>
        </w:rPr>
        <w:t>de nombreux SIAO ne sont pas équipés pour coordonner ou mobiliser une évaluation médicale ou psychique</w:t>
      </w:r>
      <w:r w:rsidR="00371D60">
        <w:rPr>
          <w:szCs w:val="20"/>
        </w:rPr>
        <w:t> : d</w:t>
      </w:r>
      <w:r w:rsidR="00371D60" w:rsidRPr="0039618F">
        <w:rPr>
          <w:szCs w:val="20"/>
        </w:rPr>
        <w:t>’une part, leurs équipes comptent rarement des professionnels de la santé (infirmiers, psychiatre, etc.) en mesure d’effectuer ces évaluations</w:t>
      </w:r>
      <w:r w:rsidR="00371D60">
        <w:rPr>
          <w:szCs w:val="20"/>
        </w:rPr>
        <w:t>, d</w:t>
      </w:r>
      <w:r w:rsidR="00371D60" w:rsidRPr="0039618F">
        <w:rPr>
          <w:szCs w:val="20"/>
        </w:rPr>
        <w:t>’autre part, l’accueil téléphonique proposé par bon nombre des SIAO</w:t>
      </w:r>
      <w:r w:rsidR="00152A9E">
        <w:rPr>
          <w:szCs w:val="20"/>
        </w:rPr>
        <w:t xml:space="preserve"> </w:t>
      </w:r>
      <w:r w:rsidR="00371D60" w:rsidRPr="0039618F">
        <w:rPr>
          <w:szCs w:val="20"/>
        </w:rPr>
        <w:t>/</w:t>
      </w:r>
      <w:r w:rsidR="00152A9E">
        <w:rPr>
          <w:szCs w:val="20"/>
        </w:rPr>
        <w:t xml:space="preserve"> </w:t>
      </w:r>
      <w:r w:rsidR="00371D60" w:rsidRPr="0039618F">
        <w:rPr>
          <w:szCs w:val="20"/>
        </w:rPr>
        <w:t>115 rend diff</w:t>
      </w:r>
      <w:r w:rsidR="00371D60" w:rsidRPr="0039618F">
        <w:rPr>
          <w:szCs w:val="20"/>
        </w:rPr>
        <w:t>i</w:t>
      </w:r>
      <w:r w:rsidR="00371D60" w:rsidRPr="0039618F">
        <w:rPr>
          <w:szCs w:val="20"/>
        </w:rPr>
        <w:t>cile la réalisation d’une telle évaluation.</w:t>
      </w:r>
    </w:p>
    <w:p w14:paraId="528F642D" w14:textId="364B288A" w:rsidR="00A4261B" w:rsidRPr="00C71318" w:rsidRDefault="00C71318" w:rsidP="00181084">
      <w:pPr>
        <w:pStyle w:val="Corpsdetexte"/>
        <w:ind w:firstLine="284"/>
        <w:rPr>
          <w:szCs w:val="20"/>
        </w:rPr>
      </w:pPr>
      <w:r>
        <w:rPr>
          <w:szCs w:val="20"/>
        </w:rPr>
        <w:t>D</w:t>
      </w:r>
      <w:r w:rsidR="00A4261B" w:rsidRPr="00C71318">
        <w:rPr>
          <w:szCs w:val="20"/>
        </w:rPr>
        <w:t>ans le prolongement de l’étude menée par l</w:t>
      </w:r>
      <w:r w:rsidR="00A4261B">
        <w:rPr>
          <w:szCs w:val="20"/>
        </w:rPr>
        <w:t>’Agence nouvelle des solidarités actives (ANSA)</w:t>
      </w:r>
      <w:r w:rsidR="00A4261B" w:rsidRPr="00DF53E5">
        <w:rPr>
          <w:vertAlign w:val="superscript"/>
        </w:rPr>
        <w:footnoteReference w:id="48"/>
      </w:r>
      <w:r w:rsidR="00A4261B">
        <w:rPr>
          <w:szCs w:val="20"/>
        </w:rPr>
        <w:t xml:space="preserve">concernant la prise en charge des problèmes de santé par la SIAO, </w:t>
      </w:r>
      <w:r w:rsidR="00371D60">
        <w:rPr>
          <w:szCs w:val="20"/>
        </w:rPr>
        <w:t>la mission recommande de doter les SIAO de professionnels de santé capables d’effectuer une première évaluation sanitaire et d’orienter</w:t>
      </w:r>
      <w:r w:rsidR="00371D60" w:rsidRPr="00371D60">
        <w:rPr>
          <w:szCs w:val="20"/>
        </w:rPr>
        <w:t xml:space="preserve"> </w:t>
      </w:r>
      <w:r w:rsidR="00371D60">
        <w:rPr>
          <w:szCs w:val="20"/>
        </w:rPr>
        <w:t>les personnes vers les structures san</w:t>
      </w:r>
      <w:r w:rsidR="00371D60">
        <w:rPr>
          <w:szCs w:val="20"/>
        </w:rPr>
        <w:t>i</w:t>
      </w:r>
      <w:r w:rsidR="00371D60">
        <w:rPr>
          <w:szCs w:val="20"/>
        </w:rPr>
        <w:t>taires et médico-sociales adaptées à leur état de santé.</w:t>
      </w:r>
    </w:p>
    <w:p w14:paraId="33426E3F" w14:textId="77777777" w:rsidR="00A15751" w:rsidRPr="00983748" w:rsidRDefault="00A15751" w:rsidP="00983748">
      <w:pPr>
        <w:pStyle w:val="Corpsdetexte"/>
      </w:pPr>
    </w:p>
    <w:p w14:paraId="2CF7217A" w14:textId="1C334ABD" w:rsidR="00983748" w:rsidRPr="00983748" w:rsidRDefault="00983748" w:rsidP="002B6969">
      <w:pPr>
        <w:pStyle w:val="EncadreCorpsdeTexte"/>
      </w:pPr>
      <w:r w:rsidRPr="00983748">
        <w:t>Proposition n°</w:t>
      </w:r>
      <w:r w:rsidR="00422705">
        <w:t>21</w:t>
      </w:r>
      <w:r w:rsidRPr="00983748">
        <w:t xml:space="preserve"> – </w:t>
      </w:r>
      <w:r w:rsidR="003728B0">
        <w:t>D</w:t>
      </w:r>
      <w:r w:rsidR="007D5C69">
        <w:t>oter</w:t>
      </w:r>
      <w:r w:rsidR="007D5C69" w:rsidRPr="00983748">
        <w:t xml:space="preserve"> </w:t>
      </w:r>
      <w:r w:rsidR="007D5C69">
        <w:t xml:space="preserve">les structures d’hébergement social </w:t>
      </w:r>
      <w:r w:rsidR="001C6899">
        <w:t xml:space="preserve">de compétences soignantes </w:t>
      </w:r>
      <w:r w:rsidR="00A15751">
        <w:t xml:space="preserve">et les SIAO </w:t>
      </w:r>
      <w:r w:rsidR="001C6899">
        <w:t xml:space="preserve"> de professionnels de santé capables d’orienter les personnes vers les structures sanitaires et médico-sociales adaptées.</w:t>
      </w:r>
    </w:p>
    <w:p w14:paraId="1FCC089C" w14:textId="77777777" w:rsidR="00983748" w:rsidRPr="00983748" w:rsidRDefault="00983748" w:rsidP="00AB729D">
      <w:pPr>
        <w:pStyle w:val="Titre5"/>
      </w:pPr>
      <w:r w:rsidRPr="00983748">
        <w:t>Fluidifier les admissions en psychiatrie des personnes en situation de grande exclusion</w:t>
      </w:r>
    </w:p>
    <w:p w14:paraId="63E6C7F9" w14:textId="28C7BFE9" w:rsidR="00983748" w:rsidRPr="00983748" w:rsidRDefault="00983748" w:rsidP="00181084">
      <w:pPr>
        <w:pStyle w:val="Corpsdetexte"/>
        <w:ind w:firstLine="284"/>
      </w:pPr>
      <w:r w:rsidRPr="00983748">
        <w:t xml:space="preserve">Pour les personnes en situation de grande exclusion, le cheminement pour accepter le principe d’un soin en établissement psychiatrique représente souvent des mois de travail. Or, pour une admission au titre d’une urgence psychiatrique, il est le plus souvent nécessaire de faire réaliser un examen somatique aux urgences qui permettra d’éliminer une pathologie mimant une pathologie psychiatrique. L’attente de plusieurs heures aux urgences est une source de découragement et de renoncement aux soins. </w:t>
      </w:r>
    </w:p>
    <w:p w14:paraId="2792925F" w14:textId="0BC415A9" w:rsidR="00983748" w:rsidRPr="00983748" w:rsidRDefault="00274DDB" w:rsidP="00AB729D">
      <w:pPr>
        <w:pStyle w:val="EncadreCorpsdeTexte"/>
        <w:shd w:val="clear" w:color="auto" w:fill="auto"/>
      </w:pPr>
      <w:r w:rsidRPr="00983748">
        <w:t>P</w:t>
      </w:r>
      <w:r>
        <w:t>iste de travail</w:t>
      </w:r>
      <w:r w:rsidR="00983748" w:rsidRPr="00983748">
        <w:t xml:space="preserve"> – </w:t>
      </w:r>
      <w:r>
        <w:t>D</w:t>
      </w:r>
      <w:r w:rsidR="00983748" w:rsidRPr="00983748">
        <w:t>ans le cadre de la réforme de l’hôpital, étudier un nouveau circuit d’admission en ps</w:t>
      </w:r>
      <w:r w:rsidR="00983748" w:rsidRPr="00983748">
        <w:t>y</w:t>
      </w:r>
      <w:r w:rsidR="00983748" w:rsidRPr="00983748">
        <w:t>chiatrie des personnes en situation de grande exclusion</w:t>
      </w:r>
      <w:r w:rsidR="00D65432">
        <w:t>.</w:t>
      </w:r>
    </w:p>
    <w:p w14:paraId="4C56F2C7" w14:textId="77777777" w:rsidR="00AF2176" w:rsidRPr="00AF2176" w:rsidRDefault="00AF2176" w:rsidP="00AF2176">
      <w:pPr>
        <w:pStyle w:val="Titre4"/>
      </w:pPr>
      <w:bookmarkStart w:id="420" w:name="_Toc523327690"/>
      <w:r w:rsidRPr="00AF2176">
        <w:t>Elaborer des parcours de soins pour les migrants</w:t>
      </w:r>
      <w:bookmarkEnd w:id="420"/>
    </w:p>
    <w:p w14:paraId="3EACA33F" w14:textId="51CD5F5D" w:rsidR="00AF2176" w:rsidRPr="00D0723C" w:rsidRDefault="00AF2176" w:rsidP="00181084">
      <w:pPr>
        <w:pStyle w:val="Corpsdetexte"/>
        <w:ind w:firstLine="284"/>
      </w:pPr>
      <w:r w:rsidRPr="00D0723C">
        <w:t>Dans un rapport publié le 20 juin 2017 sous le titre « Précarité, pauvreté et santé», l’Académie de médecine identifie la population des migrants comme l’une des populations qui, parce qu’elles présentent de nombreux facteurs de vulnérabilité et de précarité, nécessitent de bénéficier d’une attention particulière du point de vue médical.</w:t>
      </w:r>
    </w:p>
    <w:p w14:paraId="7FFF7163" w14:textId="77777777" w:rsidR="00AF2176" w:rsidRPr="00D0723C" w:rsidRDefault="00AF2176" w:rsidP="00181084">
      <w:pPr>
        <w:pStyle w:val="Corpsdetexte"/>
        <w:ind w:firstLine="284"/>
      </w:pPr>
      <w:r w:rsidRPr="00D0723C">
        <w:t>Toutes les études menées sur ces populations indiquent en effet que les migrants présentent de nombreux problèmes de santé, tant somatiques que psychiques, avec des difficultés importantes d’accès aux soins.</w:t>
      </w:r>
    </w:p>
    <w:p w14:paraId="05ADEA70" w14:textId="77777777" w:rsidR="00AF2176" w:rsidRPr="00D0723C" w:rsidRDefault="00AF2176" w:rsidP="00D0723C">
      <w:pPr>
        <w:pStyle w:val="Corpsdetexte"/>
      </w:pPr>
      <w:r w:rsidRPr="00D0723C">
        <w:lastRenderedPageBreak/>
        <w:t xml:space="preserve">La nécessité d’une prise en charge sanitaire adaptée des primo-arrivants de pays tiers est confortée par l’avis du Haut Conseil à la Santé Publique (HCSP) de mai 2015. Ainsi, la réalisation d’un « rendez-vous santé » des primo-arrivants doit être effective dans les 4 mois après leur arrivée. </w:t>
      </w:r>
    </w:p>
    <w:p w14:paraId="48D5C808" w14:textId="712DEF03" w:rsidR="00AF2176" w:rsidRPr="00D0723C" w:rsidRDefault="00AF2176" w:rsidP="00181084">
      <w:pPr>
        <w:pStyle w:val="Corpsdetexte"/>
        <w:ind w:firstLine="284"/>
      </w:pPr>
      <w:r w:rsidRPr="00D0723C">
        <w:t>En complément, les rapporteurs recommandent la construction par les ARS de parcours de santé pour les m</w:t>
      </w:r>
      <w:r w:rsidRPr="00D0723C">
        <w:t>i</w:t>
      </w:r>
      <w:r w:rsidRPr="00D0723C">
        <w:t xml:space="preserve">grants afin de les orienter de la manière la plus appropriée possible vers des structures de santé et soutiennent les objectifs prioritaires définis par la </w:t>
      </w:r>
      <w:r w:rsidR="00620750">
        <w:t>Direction générale de la santé (</w:t>
      </w:r>
      <w:r w:rsidRPr="00D0723C">
        <w:t>DGS</w:t>
      </w:r>
      <w:r w:rsidR="00620750">
        <w:t>)</w:t>
      </w:r>
      <w:r w:rsidRPr="00D0723C">
        <w:t xml:space="preserve">, la </w:t>
      </w:r>
      <w:r w:rsidR="00620750">
        <w:t>Direction générale de l’offre de soins (</w:t>
      </w:r>
      <w:r w:rsidRPr="00D0723C">
        <w:t>DGOS</w:t>
      </w:r>
      <w:r w:rsidR="00620750">
        <w:t>)</w:t>
      </w:r>
      <w:r w:rsidRPr="00D0723C">
        <w:t xml:space="preserve"> et la DGCS :</w:t>
      </w:r>
    </w:p>
    <w:p w14:paraId="4C67A742" w14:textId="5E75C928" w:rsidR="00AF2176" w:rsidRPr="00AF2176" w:rsidRDefault="00AF2176" w:rsidP="00D0723C">
      <w:pPr>
        <w:pStyle w:val="Listecontinue"/>
      </w:pPr>
      <w:r w:rsidRPr="00AF2176">
        <w:t>Faciliter l’accès à la prévention et aux soins par une meilleure information des personnes sur leurs droits et sur le système de santé aux différents « points d’entrée » sur le territoire, d’une part, et par une meilleure inform</w:t>
      </w:r>
      <w:r w:rsidRPr="00AF2176">
        <w:t>a</w:t>
      </w:r>
      <w:r w:rsidRPr="00AF2176">
        <w:t>tion des professionnels de santé sur la prise en charge des migrants, d’autre part.</w:t>
      </w:r>
    </w:p>
    <w:p w14:paraId="3F886C56" w14:textId="77777777" w:rsidR="00AF2176" w:rsidRPr="00AF2176" w:rsidRDefault="00AF2176" w:rsidP="00D0723C">
      <w:pPr>
        <w:pStyle w:val="Listecontinue"/>
      </w:pPr>
      <w:r w:rsidRPr="00AF2176">
        <w:t>Organiser une mobilisation de tous les dispositifs sanitaires de droit commun, y compris la médecine de ville, pour permettre une prise en charge effective des migrants primo arrivants. Cette mobilisation doit permettre d’améliorer notamment le parcours en santé mentale, et la prise en charge du psycho-traumatisme. De plus, le renforcement de l’accès à l’interprétariat professionnel apparaît comme essentiel à toutes les étapes du pa</w:t>
      </w:r>
      <w:r w:rsidRPr="00AF2176">
        <w:t>r</w:t>
      </w:r>
      <w:r w:rsidRPr="00AF2176">
        <w:t>cours de santé des migrants.</w:t>
      </w:r>
    </w:p>
    <w:p w14:paraId="6FB10584" w14:textId="77777777" w:rsidR="00AF2176" w:rsidRPr="00AF2176" w:rsidRDefault="00AF2176" w:rsidP="00AF2176">
      <w:pPr>
        <w:pStyle w:val="Listecontinue"/>
      </w:pPr>
      <w:r w:rsidRPr="00AF2176">
        <w:t>Développer une coordination renforcée au niveau national et un pilotage régional du parcours de santé des migrants au sein des programmes régionaux pour l'accès à la prévention et aux soins des plus démunis (PRAPS) 2018-2022.</w:t>
      </w:r>
    </w:p>
    <w:p w14:paraId="752D96D4" w14:textId="7A3B86F7" w:rsidR="00AF2176" w:rsidRPr="00AF2176" w:rsidRDefault="00AF2176" w:rsidP="00D0723C">
      <w:pPr>
        <w:pStyle w:val="EncadreCorpsdeTexte"/>
      </w:pPr>
      <w:r w:rsidRPr="00AF2176">
        <w:t>Proposition n°</w:t>
      </w:r>
      <w:r w:rsidR="00422705">
        <w:t>22</w:t>
      </w:r>
      <w:r w:rsidR="009B433E" w:rsidRPr="00AF2176">
        <w:t xml:space="preserve"> </w:t>
      </w:r>
      <w:r w:rsidRPr="00AF2176">
        <w:t xml:space="preserve">– </w:t>
      </w:r>
      <w:r w:rsidR="002C46AD">
        <w:t>O</w:t>
      </w:r>
      <w:r w:rsidRPr="00AF2176">
        <w:t xml:space="preserve">rienter les migrants par l’élaboration de parcours de santé </w:t>
      </w:r>
    </w:p>
    <w:p w14:paraId="593B07E1" w14:textId="77777777" w:rsidR="00C7777F" w:rsidRDefault="00C7777F" w:rsidP="00C7777F">
      <w:pPr>
        <w:pStyle w:val="Titre3"/>
      </w:pPr>
      <w:bookmarkStart w:id="421" w:name="_Toc523327691"/>
      <w:r>
        <w:t>Accompagner les professionnels de santé et adapter leurs compétences</w:t>
      </w:r>
      <w:bookmarkEnd w:id="421"/>
      <w:r>
        <w:t xml:space="preserve"> </w:t>
      </w:r>
    </w:p>
    <w:p w14:paraId="48AA1B3A" w14:textId="77777777" w:rsidR="00C7777F" w:rsidRDefault="00C7777F" w:rsidP="00C7777F">
      <w:pPr>
        <w:pStyle w:val="Titre4"/>
      </w:pPr>
      <w:bookmarkStart w:id="422" w:name="_Toc523327692"/>
      <w:r>
        <w:t>Accompagner les professionnels de santé</w:t>
      </w:r>
      <w:bookmarkEnd w:id="422"/>
    </w:p>
    <w:p w14:paraId="40E36DC4" w14:textId="56EA1A5A" w:rsidR="00C7777F" w:rsidRDefault="00C7777F" w:rsidP="00181084">
      <w:pPr>
        <w:pStyle w:val="Corpsdetexte"/>
        <w:ind w:firstLine="284"/>
      </w:pPr>
      <w:r>
        <w:t>Le décloisonnement des secteurs sanitaire, médico-social et social est un enjeu majeur pour améliorer la coo</w:t>
      </w:r>
      <w:r>
        <w:t>r</w:t>
      </w:r>
      <w:r>
        <w:t xml:space="preserve">dination des professionnels de santé au service </w:t>
      </w:r>
      <w:r w:rsidR="003E090E">
        <w:t xml:space="preserve">de l’accès à la santé et </w:t>
      </w:r>
      <w:r>
        <w:t>des parcours</w:t>
      </w:r>
      <w:r w:rsidR="003E090E">
        <w:t xml:space="preserve"> de soins</w:t>
      </w:r>
      <w:r>
        <w:t>. En effet, le renforcement de cette coordination permet d’éviter les ruptures dans les prises en charge des situations co</w:t>
      </w:r>
      <w:r>
        <w:t>m</w:t>
      </w:r>
      <w:r>
        <w:t>plexes. Le défi est de mobiliser de multiples ressources à la fois sanitaires, médico-sociales et sociales pour accompagner au mieux les patients. A ce titre, outre le développement d’innovations organisationnelles et techn</w:t>
      </w:r>
      <w:r>
        <w:t>o</w:t>
      </w:r>
      <w:r>
        <w:t>logiques permettant la coordination et l’intégration des acteurs</w:t>
      </w:r>
      <w:r w:rsidR="003E090E">
        <w:t>,</w:t>
      </w:r>
      <w:r>
        <w:t xml:space="preserve"> exposées supra, il est nécessaire d’assurer le renforcement de l’appui aux professionnels. </w:t>
      </w:r>
    </w:p>
    <w:p w14:paraId="3CE6EB2D" w14:textId="39585D57" w:rsidR="001665B7" w:rsidRDefault="00C7777F" w:rsidP="00181084">
      <w:pPr>
        <w:pStyle w:val="Corpsdetexte"/>
        <w:ind w:firstLine="284"/>
      </w:pPr>
      <w:r>
        <w:t>Des solutions d’accompagnement et d’appui ont d’ores et déjà été déployées aux niveaux national et régional (</w:t>
      </w:r>
      <w:r w:rsidR="00553F36">
        <w:t>notamment les p</w:t>
      </w:r>
      <w:r w:rsidR="00553F36" w:rsidRPr="00841F84">
        <w:t>late-formes territoriales d’appui</w:t>
      </w:r>
      <w:r w:rsidR="00A74890">
        <w:t xml:space="preserve"> (PTA)</w:t>
      </w:r>
      <w:r w:rsidR="00553F36">
        <w:t xml:space="preserve">, </w:t>
      </w:r>
      <w:r w:rsidR="003E090E" w:rsidRPr="00EA1EEF">
        <w:rPr>
          <w:i/>
        </w:rPr>
        <w:t>cf.</w:t>
      </w:r>
      <w:r w:rsidR="003E090E">
        <w:t xml:space="preserve"> </w:t>
      </w:r>
      <w:r>
        <w:t>annexe 1</w:t>
      </w:r>
      <w:r w:rsidR="00D400B3">
        <w:t>4</w:t>
      </w:r>
      <w:r>
        <w:t xml:space="preserve">) ; elles permettent aux professionnels d’accéder à des ressources utiles pour identifier les réseaux de soins ou de bénéficier de conseils s’agissant de la prise en charge de patients complexes. </w:t>
      </w:r>
    </w:p>
    <w:p w14:paraId="0134227B" w14:textId="3688EE5C" w:rsidR="00A37BE1" w:rsidRDefault="00A37BE1" w:rsidP="00181084">
      <w:pPr>
        <w:pStyle w:val="Corpsdetexte"/>
        <w:ind w:firstLine="284"/>
      </w:pPr>
      <w:r>
        <w:t>L’accompagnement passe aussi par l’accès pour tous les professionnels de santé à des informations simples et priorisées pour chaque type de handicap, d’accès extrêmement simple, réalisable lors de toute consultation mais aussi par la possibilité d’identifier facilement les professionnels disposant d’équipements adaptés à la prise en charge des personnes en situation de handicap (</w:t>
      </w:r>
      <w:r w:rsidR="00620750">
        <w:t>par exemple,</w:t>
      </w:r>
      <w:r>
        <w:t xml:space="preserve"> tables d’examens adaptés) de sorte à faciliter les réorientations vers ces confrères et de poser des questions directement à un expert en mode asynchrone. Un site internet ressources comme Handiconnect en lien avec les plateformes et sites spécialités dans les différents types de handicap (</w:t>
      </w:r>
      <w:r w:rsidR="00620750">
        <w:t>par exemple,</w:t>
      </w:r>
      <w:r>
        <w:t>orphanet) nous parait indispensable.</w:t>
      </w:r>
    </w:p>
    <w:p w14:paraId="29E60B09" w14:textId="5E699110" w:rsidR="00C7777F" w:rsidRDefault="00C7777F" w:rsidP="00337E5D">
      <w:pPr>
        <w:pStyle w:val="EncadreCorpsdeTexte"/>
      </w:pPr>
      <w:r>
        <w:t>Proposition n°2</w:t>
      </w:r>
      <w:r w:rsidR="00422705">
        <w:t>3</w:t>
      </w:r>
      <w:r>
        <w:t xml:space="preserve"> - </w:t>
      </w:r>
      <w:r w:rsidR="00A37BE1">
        <w:t>Les rapporteurs proposent de structurer et faciliter l’</w:t>
      </w:r>
      <w:r w:rsidR="00A91DEF">
        <w:t>accès</w:t>
      </w:r>
      <w:r w:rsidR="00A37BE1">
        <w:t xml:space="preserve"> aux informations utiles dans la pratique </w:t>
      </w:r>
      <w:r w:rsidR="00A91DEF">
        <w:t>quotidienne</w:t>
      </w:r>
      <w:r w:rsidR="00A37BE1">
        <w:t xml:space="preserve"> des professionnels</w:t>
      </w:r>
      <w:r w:rsidR="00620750">
        <w:t>.</w:t>
      </w:r>
    </w:p>
    <w:p w14:paraId="79A363B2" w14:textId="405ABAC9" w:rsidR="00C7777F" w:rsidRDefault="00553F36" w:rsidP="00181084">
      <w:pPr>
        <w:pStyle w:val="Corpsdetexte"/>
        <w:ind w:firstLine="284"/>
      </w:pPr>
      <w:r>
        <w:lastRenderedPageBreak/>
        <w:t>D</w:t>
      </w:r>
      <w:r w:rsidR="00C7777F">
        <w:t xml:space="preserve">es progrès </w:t>
      </w:r>
      <w:r>
        <w:t xml:space="preserve">sont également attendus </w:t>
      </w:r>
      <w:r w:rsidR="00C7777F">
        <w:t>du développement des systèmes d’informations « e-parcours »</w:t>
      </w:r>
      <w:r w:rsidR="00BF011B">
        <w:rPr>
          <w:rStyle w:val="Appelnotedebasdep"/>
        </w:rPr>
        <w:footnoteReference w:id="49"/>
      </w:r>
      <w:r w:rsidR="00C7777F">
        <w:t xml:space="preserve"> et de la </w:t>
      </w:r>
      <w:r w:rsidR="00085DAC">
        <w:t>connexion</w:t>
      </w:r>
      <w:r w:rsidR="00C7777F">
        <w:t xml:space="preserve"> entre les outils d’orientation, le </w:t>
      </w:r>
      <w:r w:rsidR="00CF1698">
        <w:t>dossier médical partagé (</w:t>
      </w:r>
      <w:r w:rsidR="00C7777F">
        <w:t>DMP</w:t>
      </w:r>
      <w:r w:rsidR="00CF1698">
        <w:t>)</w:t>
      </w:r>
      <w:r w:rsidR="00C7777F">
        <w:t>, la MS Santé</w:t>
      </w:r>
      <w:r w:rsidR="00382A9A">
        <w:rPr>
          <w:rStyle w:val="Appelnotedebasdep"/>
        </w:rPr>
        <w:footnoteReference w:id="50"/>
      </w:r>
      <w:r w:rsidR="00C7777F">
        <w:t xml:space="preserve"> et l’environnement de travail informatique des </w:t>
      </w:r>
      <w:r w:rsidR="00085DAC">
        <w:t>professionnels de santé</w:t>
      </w:r>
      <w:r w:rsidR="00C7777F">
        <w:t xml:space="preserve">. </w:t>
      </w:r>
    </w:p>
    <w:p w14:paraId="0C34A96A" w14:textId="15362291" w:rsidR="00C7777F" w:rsidRDefault="00553F36" w:rsidP="00181084">
      <w:pPr>
        <w:pStyle w:val="Corpsdetexte"/>
        <w:ind w:firstLine="284"/>
      </w:pPr>
      <w:r>
        <w:t>Par ailleurs, l</w:t>
      </w:r>
      <w:r w:rsidR="00C7777F">
        <w:t>a mission recommande de renforcer les moyens alloués à l’accompagnement proposé par les dél</w:t>
      </w:r>
      <w:r w:rsidR="00C7777F">
        <w:t>é</w:t>
      </w:r>
      <w:r w:rsidR="00C7777F">
        <w:t>gués de l’assurance maladie (DAM) et les praticiens-conseils.</w:t>
      </w:r>
    </w:p>
    <w:p w14:paraId="5B5403D3" w14:textId="3E2D16F0" w:rsidR="00C7777F" w:rsidRDefault="00C7777F" w:rsidP="00181084">
      <w:pPr>
        <w:pStyle w:val="Corpsdetexte"/>
        <w:ind w:firstLine="284"/>
      </w:pPr>
      <w:r>
        <w:t>En application de la COG 2018-2022, la CNAM mettra en œuvre, à partir de l’exploitation de ses bases de do</w:t>
      </w:r>
      <w:r>
        <w:t>n</w:t>
      </w:r>
      <w:r>
        <w:t xml:space="preserve">nées et dans un objectif de soutien ou d’inflexion des pratiques, un nouveau partenariat plus personnalisé (programme personnalisé d’accompagnement </w:t>
      </w:r>
      <w:r w:rsidR="00CF1698">
        <w:t>-</w:t>
      </w:r>
      <w:r>
        <w:t xml:space="preserve"> PPA</w:t>
      </w:r>
      <w:r w:rsidR="00CF1698">
        <w:t xml:space="preserve"> -</w:t>
      </w:r>
      <w:r>
        <w:t>) et plus réactif avec les médecins. Les interventions du DAM permettront d’échanger avec les professionnels sur les situations des assurés posant des difficultés de prise en charge et de fournir des informations concernant la patientèle afin notamment de donner aux médecins de la vis</w:t>
      </w:r>
      <w:r>
        <w:t>i</w:t>
      </w:r>
      <w:r>
        <w:t xml:space="preserve">bilité sur la participation de leurs patients aux actions de </w:t>
      </w:r>
      <w:r w:rsidR="00A91DEF">
        <w:t xml:space="preserve">prévention. </w:t>
      </w:r>
    </w:p>
    <w:p w14:paraId="43D8D416" w14:textId="2E3A973C" w:rsidR="00252558" w:rsidRDefault="00252558" w:rsidP="00181084">
      <w:pPr>
        <w:pStyle w:val="Corpsdetexte"/>
        <w:ind w:firstLine="284"/>
      </w:pPr>
      <w:r>
        <w:t xml:space="preserve">Les DAM pourraient également contribuer à sensibiliser les professionnels de santé au repérage et à la manière d’aborder les questions de précarité </w:t>
      </w:r>
      <w:r w:rsidR="005D40E3">
        <w:t xml:space="preserve">ou de handicap </w:t>
      </w:r>
      <w:r>
        <w:t>avec les personnes reçues.</w:t>
      </w:r>
    </w:p>
    <w:p w14:paraId="4B6FACB9" w14:textId="10E7C1CE" w:rsidR="00252558" w:rsidRPr="009D3D99" w:rsidRDefault="00252558" w:rsidP="00181084">
      <w:pPr>
        <w:pStyle w:val="Titre5"/>
        <w:numPr>
          <w:ilvl w:val="0"/>
          <w:numId w:val="0"/>
        </w:numPr>
        <w:ind w:firstLine="284"/>
        <w:jc w:val="both"/>
        <w:rPr>
          <w:b w:val="0"/>
          <w:i w:val="0"/>
          <w:color w:val="1A171B"/>
          <w:sz w:val="20"/>
          <w:lang w:eastAsia="en-US"/>
        </w:rPr>
      </w:pPr>
      <w:r w:rsidRPr="009D3D99">
        <w:rPr>
          <w:b w:val="0"/>
          <w:i w:val="0"/>
          <w:color w:val="1A171B"/>
          <w:sz w:val="20"/>
          <w:lang w:eastAsia="en-US"/>
        </w:rPr>
        <w:t xml:space="preserve">Aider les professionnels de santé à mieux identifier les retards de soins de leurs patients passe aussi par </w:t>
      </w:r>
      <w:r>
        <w:rPr>
          <w:b w:val="0"/>
          <w:i w:val="0"/>
          <w:color w:val="1A171B"/>
          <w:sz w:val="20"/>
          <w:lang w:eastAsia="en-US"/>
        </w:rPr>
        <w:t>u</w:t>
      </w:r>
      <w:r w:rsidRPr="009D3D99">
        <w:rPr>
          <w:b w:val="0"/>
          <w:i w:val="0"/>
          <w:color w:val="1A171B"/>
          <w:sz w:val="20"/>
          <w:lang w:eastAsia="en-US"/>
        </w:rPr>
        <w:t>ne meilleure exploitation des données de l’assurance maladie</w:t>
      </w:r>
      <w:r>
        <w:rPr>
          <w:b w:val="0"/>
          <w:i w:val="0"/>
          <w:color w:val="1A171B"/>
          <w:sz w:val="20"/>
          <w:lang w:eastAsia="en-US"/>
        </w:rPr>
        <w:t>. Il s’agirait de d</w:t>
      </w:r>
      <w:r w:rsidRPr="009D3D99">
        <w:rPr>
          <w:b w:val="0"/>
          <w:i w:val="0"/>
          <w:color w:val="1A171B"/>
          <w:sz w:val="20"/>
          <w:lang w:eastAsia="en-US"/>
        </w:rPr>
        <w:t xml:space="preserve">onner la possibilité aux professionnels de santé d’accéder, via Ameli pro, à des informations relatives à leur patientèle et d’identifier notamment, à partir de leurs consommations de soins, ceux de leurs patients auxquels ils pourraient proposer des actions de prévention, de dépistage ou des services d’accompagnement. </w:t>
      </w:r>
    </w:p>
    <w:p w14:paraId="7BF4F558" w14:textId="07EE692F" w:rsidR="00073E14" w:rsidRPr="005639D6" w:rsidRDefault="00252558" w:rsidP="00181084">
      <w:pPr>
        <w:pStyle w:val="Corpsdetexte"/>
        <w:ind w:firstLine="284"/>
      </w:pPr>
      <w:r w:rsidRPr="005639D6">
        <w:t xml:space="preserve">Telle est la proposition de l’assurance maladie dans son rapport </w:t>
      </w:r>
      <w:r w:rsidR="00F15BC1">
        <w:t>« </w:t>
      </w:r>
      <w:r w:rsidRPr="005639D6">
        <w:t>charges et produits 2019</w:t>
      </w:r>
      <w:r w:rsidR="00F15BC1">
        <w:t> »</w:t>
      </w:r>
      <w:r w:rsidRPr="005639D6">
        <w:t xml:space="preserve"> à laquelle les ra</w:t>
      </w:r>
      <w:r w:rsidRPr="005639D6">
        <w:t>p</w:t>
      </w:r>
      <w:r w:rsidRPr="005639D6">
        <w:t>porteurs souscrivent pleinement s’agissant de personnes en situation de vulnérabilité</w:t>
      </w:r>
      <w:r>
        <w:t xml:space="preserve"> ou de handicap</w:t>
      </w:r>
      <w:r w:rsidRPr="005639D6">
        <w:t>. Le projet doit néanmoins s’accompagner d’une réflexion sur la place du consentement des patients et la durée de conserv</w:t>
      </w:r>
      <w:r w:rsidRPr="005639D6">
        <w:t>a</w:t>
      </w:r>
      <w:r w:rsidRPr="005639D6">
        <w:t xml:space="preserve">tion de certaines informations. </w:t>
      </w:r>
    </w:p>
    <w:p w14:paraId="0D8977D6" w14:textId="77777777" w:rsidR="00C7777F" w:rsidRDefault="00C7777F" w:rsidP="00181084">
      <w:pPr>
        <w:pStyle w:val="Corpsdetexte"/>
        <w:ind w:firstLine="284"/>
      </w:pPr>
      <w:r>
        <w:t>Les rapporteurs soutiennent par ailleurs le projet de la CNAM d’étendre les services proposés par Ameli pro et de permettre notamment aux professionnels de santé de se comparer à leurs pairs et de se référer à des reco</w:t>
      </w:r>
      <w:r>
        <w:t>m</w:t>
      </w:r>
      <w:r>
        <w:t>mandations de bonnes pratiques.</w:t>
      </w:r>
    </w:p>
    <w:p w14:paraId="6DC6FA72" w14:textId="62D5D505" w:rsidR="00C7777F" w:rsidRDefault="00C7777F" w:rsidP="00C7777F">
      <w:pPr>
        <w:pStyle w:val="EncadreCorpsdeTexte"/>
      </w:pPr>
      <w:r>
        <w:t>Proposition n°</w:t>
      </w:r>
      <w:r w:rsidR="0089253F">
        <w:t>2</w:t>
      </w:r>
      <w:r w:rsidR="00422705">
        <w:t>4</w:t>
      </w:r>
      <w:r>
        <w:t xml:space="preserve"> – </w:t>
      </w:r>
      <w:r w:rsidR="00CF1698">
        <w:t>R</w:t>
      </w:r>
      <w:r>
        <w:t xml:space="preserve">enforcer l’accompagnement des </w:t>
      </w:r>
      <w:r w:rsidR="00085DAC">
        <w:t>pr</w:t>
      </w:r>
      <w:r w:rsidR="00252558">
        <w:t>o</w:t>
      </w:r>
      <w:r w:rsidR="00085DAC">
        <w:t xml:space="preserve">fessionnels de santé </w:t>
      </w:r>
      <w:r>
        <w:t>par l’assurance maladie (mise à disposition d’indicateurs sur la structure de la patientèle, accès à des informations sur la consommation de soins de la patientèle, sensibilisation au repérage et à la manière d’aborder les questions de précarité</w:t>
      </w:r>
      <w:r w:rsidR="00085DAC">
        <w:t xml:space="preserve"> et de handicap</w:t>
      </w:r>
      <w:r>
        <w:t>)</w:t>
      </w:r>
      <w:r w:rsidR="00CF1698">
        <w:t>.</w:t>
      </w:r>
    </w:p>
    <w:p w14:paraId="3E5B869E" w14:textId="617C810B" w:rsidR="006E0BAF" w:rsidRDefault="006E0BAF" w:rsidP="00C7777F">
      <w:pPr>
        <w:pStyle w:val="Corpsdetexte"/>
      </w:pPr>
    </w:p>
    <w:p w14:paraId="4FC43BD0" w14:textId="2FF3B1F5" w:rsidR="006E0BAF" w:rsidRDefault="00751F91" w:rsidP="006E0BAF">
      <w:pPr>
        <w:pStyle w:val="Corpsdetexte"/>
      </w:pPr>
      <w:r>
        <w:t xml:space="preserve">La continuité des soins revêt une importance particulière pour les personnes concernées par ce rapport qui ne sont néanmoins pas toujours à même de rendre compte des soins qu’elles ont reçus ou des traitements prodigués.  </w:t>
      </w:r>
      <w:r w:rsidR="006E0BAF">
        <w:t xml:space="preserve">Afin </w:t>
      </w:r>
      <w:r>
        <w:t xml:space="preserve">de veiller à cette continuité des soins, la mission souligne l’importance </w:t>
      </w:r>
      <w:r w:rsidR="006E0BAF">
        <w:t>de mettre à disposition des professionnels les informations indispensables</w:t>
      </w:r>
      <w:r>
        <w:t xml:space="preserve"> au suivi des traitements et souhaite que soit priorisés</w:t>
      </w:r>
      <w:r w:rsidR="006E0BAF">
        <w:t xml:space="preserve"> l’utilisation du DMP et des carnets de santé pour les populations vulnérables.</w:t>
      </w:r>
    </w:p>
    <w:p w14:paraId="006F7ABC" w14:textId="77777777" w:rsidR="006E0BAF" w:rsidRDefault="006E0BAF" w:rsidP="00C7777F">
      <w:pPr>
        <w:pStyle w:val="Corpsdetexte"/>
      </w:pPr>
    </w:p>
    <w:p w14:paraId="58E3D93A" w14:textId="3B00E08E" w:rsidR="00073E14" w:rsidRPr="00751F91" w:rsidRDefault="00073E14" w:rsidP="00BF0401">
      <w:pPr>
        <w:pStyle w:val="EncadreCorpsdeTexte"/>
      </w:pPr>
      <w:r w:rsidRPr="00751F91">
        <w:t>Proposition</w:t>
      </w:r>
      <w:r w:rsidR="00751F91">
        <w:t xml:space="preserve"> n°2</w:t>
      </w:r>
      <w:r w:rsidR="00422705">
        <w:t>5</w:t>
      </w:r>
      <w:r w:rsidR="00751F91">
        <w:t xml:space="preserve"> - </w:t>
      </w:r>
      <w:r w:rsidRPr="00751F91">
        <w:t xml:space="preserve"> Mettre à la disposition des professionnels les informations</w:t>
      </w:r>
      <w:r w:rsidR="00751F91" w:rsidRPr="00751F91">
        <w:t xml:space="preserve"> indispensables à la continuité des soins</w:t>
      </w:r>
    </w:p>
    <w:p w14:paraId="23C7A6E6" w14:textId="4F724DC7" w:rsidR="00C7777F" w:rsidRDefault="00C7777F" w:rsidP="00C7777F">
      <w:pPr>
        <w:pStyle w:val="Titre4"/>
      </w:pPr>
      <w:bookmarkStart w:id="423" w:name="_Toc523327693"/>
      <w:r>
        <w:lastRenderedPageBreak/>
        <w:t>Adapter les compétences des professionnels de santé</w:t>
      </w:r>
      <w:bookmarkEnd w:id="423"/>
    </w:p>
    <w:p w14:paraId="5ED9C5CD" w14:textId="18CAB02A" w:rsidR="00A52D81" w:rsidRDefault="00A52D81" w:rsidP="00181084">
      <w:pPr>
        <w:pStyle w:val="Corpsdetexte"/>
        <w:numPr>
          <w:ilvl w:val="0"/>
          <w:numId w:val="56"/>
        </w:numPr>
        <w:ind w:left="142" w:hanging="142"/>
      </w:pPr>
      <w:r w:rsidRPr="00054C41">
        <w:t>Les études initiales</w:t>
      </w:r>
      <w:r>
        <w:t xml:space="preserve"> des professionnels de santé ne les sensibilisent pas</w:t>
      </w:r>
      <w:r w:rsidR="00972004">
        <w:t xml:space="preserve"> </w:t>
      </w:r>
      <w:r w:rsidR="00972004" w:rsidRPr="00405B88">
        <w:t>suffisamment</w:t>
      </w:r>
      <w:r>
        <w:t xml:space="preserve"> aux spécificités de la prise en charge d’un patient en situation de handicap ou de précarité. Des modules de simulation et aussi de mise en situation avec des patients « formateurs » en situation de vulnérabilité peuvent être utilement proposés. </w:t>
      </w:r>
      <w:r w:rsidRPr="00751F91">
        <w:t xml:space="preserve"> </w:t>
      </w:r>
    </w:p>
    <w:p w14:paraId="638623D6" w14:textId="4371CF73" w:rsidR="00A52D81" w:rsidRPr="00024F84" w:rsidRDefault="00A52D81" w:rsidP="00181084">
      <w:pPr>
        <w:pStyle w:val="Corpsdetexte"/>
        <w:numPr>
          <w:ilvl w:val="0"/>
          <w:numId w:val="56"/>
        </w:numPr>
        <w:ind w:left="142" w:hanging="142"/>
      </w:pPr>
      <w:r w:rsidRPr="00024F84">
        <w:t xml:space="preserve">Des </w:t>
      </w:r>
      <w:r w:rsidRPr="00D81FC5">
        <w:t>stages</w:t>
      </w:r>
      <w:r>
        <w:t xml:space="preserve"> pratiques doivent</w:t>
      </w:r>
      <w:r w:rsidRPr="00024F84">
        <w:t xml:space="preserve"> </w:t>
      </w:r>
      <w:r w:rsidR="00972004">
        <w:t xml:space="preserve">être </w:t>
      </w:r>
      <w:r w:rsidRPr="00024F84">
        <w:t>organisés dans des établissements sociaux et médico-sociaux (EMSM) ainsi qu’en permanence d’accès aux soins de santé (PASS).</w:t>
      </w:r>
    </w:p>
    <w:p w14:paraId="16C5DC57" w14:textId="0E55E657" w:rsidR="00C7777F" w:rsidRPr="000E4619" w:rsidRDefault="00C7777F" w:rsidP="00181084">
      <w:pPr>
        <w:pStyle w:val="Corpsdetexte"/>
        <w:numPr>
          <w:ilvl w:val="0"/>
          <w:numId w:val="56"/>
        </w:numPr>
        <w:ind w:left="142" w:hanging="142"/>
      </w:pPr>
      <w:r w:rsidRPr="00024F84">
        <w:t xml:space="preserve">La </w:t>
      </w:r>
      <w:r w:rsidRPr="00054C41">
        <w:t>création du service sanitaire des</w:t>
      </w:r>
      <w:r w:rsidRPr="00024F84">
        <w:t xml:space="preserve"> étudiants en santé est porteuse d’opportunités supplémentaires de sensibil</w:t>
      </w:r>
      <w:r w:rsidRPr="00024F84">
        <w:t>i</w:t>
      </w:r>
      <w:r w:rsidRPr="00024F84">
        <w:t xml:space="preserve">sation des étudiants </w:t>
      </w:r>
      <w:r w:rsidRPr="000E4619">
        <w:t xml:space="preserve">dans des conditions proches du stage. Il est proposé pour renforcer le dispositif d’inclure systématiquement parmi les « publics prioritaires » évoqués par le décret fondateur les personnes en situation de précarité et les personnes en situation de handicap, ainsi qu’une partie des structures qu’elles sont amenées à fréquenter. </w:t>
      </w:r>
    </w:p>
    <w:p w14:paraId="3FA2AA21" w14:textId="405A06DE" w:rsidR="00C7777F" w:rsidRDefault="00C7777F" w:rsidP="00181084">
      <w:pPr>
        <w:pStyle w:val="Corpsdetexte"/>
        <w:numPr>
          <w:ilvl w:val="0"/>
          <w:numId w:val="56"/>
        </w:numPr>
        <w:ind w:left="142" w:hanging="142"/>
      </w:pPr>
      <w:r w:rsidRPr="000E4619">
        <w:t xml:space="preserve">La </w:t>
      </w:r>
      <w:r w:rsidRPr="00054C41">
        <w:t>formation continue</w:t>
      </w:r>
      <w:r w:rsidR="00172077" w:rsidRPr="000E4619">
        <w:t> : Des orientations nouvelles pourraient être données pour développer à la fois une offre spécifique innovante dans ses approches pédagogiques et relative à la prise en charge de populations fragiles et l’inclusion d’un module de sensibilisation dans les formations générales. Les rapporteurs recommandent égal</w:t>
      </w:r>
      <w:r w:rsidR="00172077" w:rsidRPr="000E4619">
        <w:t>e</w:t>
      </w:r>
      <w:r w:rsidR="00172077" w:rsidRPr="000E4619">
        <w:t>ment de favoriser les actions transversales recherchant une plus grande mixité entre professionnels salariés et libéraux et faisant intervenir des travailleurs sociaux, des directeurs d’établissements sociaux et médico-sociaux.</w:t>
      </w:r>
      <w:r w:rsidR="00172077" w:rsidRPr="00024F84">
        <w:t xml:space="preserve"> </w:t>
      </w:r>
      <w:r w:rsidR="00172077" w:rsidRPr="000E4619">
        <w:t xml:space="preserve">L’échéance du décret du 8 décembre 2015 offre </w:t>
      </w:r>
      <w:r w:rsidR="00024F84">
        <w:t xml:space="preserve">à cet égard </w:t>
      </w:r>
      <w:r w:rsidR="00172077" w:rsidRPr="000E4619">
        <w:t xml:space="preserve">une opportunité. </w:t>
      </w:r>
    </w:p>
    <w:p w14:paraId="3B5C018E" w14:textId="4CB5CEF5" w:rsidR="00024F84" w:rsidRDefault="00024F84" w:rsidP="00181084">
      <w:pPr>
        <w:pStyle w:val="Corpsdetexte"/>
        <w:numPr>
          <w:ilvl w:val="0"/>
          <w:numId w:val="56"/>
        </w:numPr>
        <w:ind w:left="142" w:hanging="142"/>
      </w:pPr>
      <w:r>
        <w:t xml:space="preserve">Au-delà des soins, il est utile de </w:t>
      </w:r>
      <w:r w:rsidRPr="00054C41">
        <w:t>sensibiliser les professionnels aux dispositifs de couverture santé</w:t>
      </w:r>
      <w:r>
        <w:t xml:space="preserve"> (CMU</w:t>
      </w:r>
      <w:r>
        <w:noBreakHyphen/>
        <w:t>C, ACS,</w:t>
      </w:r>
      <w:r w:rsidR="00CF1698">
        <w:t xml:space="preserve"> AME</w:t>
      </w:r>
      <w:r w:rsidR="00E95A5A">
        <w:t>, etc.</w:t>
      </w:r>
      <w:r>
        <w:t xml:space="preserve">) ; ils ne sont que peu formés à ces </w:t>
      </w:r>
      <w:r w:rsidR="00A91DEF">
        <w:t>dispositifs</w:t>
      </w:r>
      <w:r>
        <w:t xml:space="preserve"> et aux conditions financières associées (application du tiers payant intégral, interdiction de dépassements d’honoraires pour les patients précaires titulaires de la CMU</w:t>
      </w:r>
      <w:r>
        <w:noBreakHyphen/>
        <w:t>C et de l’ACS</w:t>
      </w:r>
      <w:r w:rsidR="00E95A5A">
        <w:t>, etc.</w:t>
      </w:r>
      <w:r>
        <w:t>)</w:t>
      </w:r>
      <w:r w:rsidRPr="00181084">
        <w:rPr>
          <w:vertAlign w:val="superscript"/>
        </w:rPr>
        <w:footnoteReference w:id="51"/>
      </w:r>
      <w:r>
        <w:t>. Un renforcement des enseignements initiaux sur ces points permettrait aux profe</w:t>
      </w:r>
      <w:r>
        <w:t>s</w:t>
      </w:r>
      <w:r>
        <w:t xml:space="preserve">sionnels de réduire le temps consacré au « non médical » lorsqu’ils soignent des personnes en situation de précarité. </w:t>
      </w:r>
    </w:p>
    <w:p w14:paraId="537EB9C5" w14:textId="77777777" w:rsidR="00024F84" w:rsidRPr="00DF53E5" w:rsidRDefault="00024F84" w:rsidP="00DF53E5">
      <w:pPr>
        <w:pStyle w:val="Corpsdetexte"/>
        <w:ind w:left="1080"/>
      </w:pPr>
    </w:p>
    <w:p w14:paraId="7AE499D4" w14:textId="75D171EE" w:rsidR="00C7777F" w:rsidRDefault="00C7777F" w:rsidP="00C7777F">
      <w:pPr>
        <w:pStyle w:val="EncadreCorpsdeTexte"/>
      </w:pPr>
      <w:r w:rsidRPr="00172077">
        <w:t>Proposition n°</w:t>
      </w:r>
      <w:r w:rsidR="0089253F" w:rsidRPr="00172077">
        <w:t>2</w:t>
      </w:r>
      <w:r w:rsidR="00422705">
        <w:t>6</w:t>
      </w:r>
      <w:r w:rsidR="0089253F" w:rsidRPr="00172077">
        <w:t xml:space="preserve"> </w:t>
      </w:r>
      <w:r w:rsidRPr="00172077">
        <w:t>–</w:t>
      </w:r>
      <w:r w:rsidR="00097269">
        <w:t xml:space="preserve"> E</w:t>
      </w:r>
      <w:r w:rsidR="00172077" w:rsidRPr="00172077">
        <w:t xml:space="preserve">nrichir les compétences de l’ensemble des </w:t>
      </w:r>
      <w:r w:rsidR="000E4619">
        <w:t>professionnels de santé</w:t>
      </w:r>
      <w:r w:rsidR="000E4619" w:rsidRPr="00172077">
        <w:t xml:space="preserve"> </w:t>
      </w:r>
      <w:r w:rsidR="00172077" w:rsidRPr="00172077">
        <w:t xml:space="preserve">lors des différentes étapes de leur formation initiale et continue. </w:t>
      </w:r>
    </w:p>
    <w:p w14:paraId="08139329" w14:textId="01933DD5" w:rsidR="00952923" w:rsidRDefault="0070340B" w:rsidP="00952923">
      <w:pPr>
        <w:pStyle w:val="Titre3"/>
      </w:pPr>
      <w:bookmarkStart w:id="424" w:name="_Toc519012617"/>
      <w:bookmarkStart w:id="425" w:name="_Toc519013383"/>
      <w:bookmarkStart w:id="426" w:name="_Toc519013471"/>
      <w:bookmarkStart w:id="427" w:name="_Toc519013559"/>
      <w:bookmarkStart w:id="428" w:name="_Toc519013647"/>
      <w:bookmarkStart w:id="429" w:name="_Toc519013735"/>
      <w:bookmarkStart w:id="430" w:name="_Toc519013964"/>
      <w:bookmarkStart w:id="431" w:name="_Toc519014468"/>
      <w:bookmarkStart w:id="432" w:name="_Toc519014970"/>
      <w:bookmarkStart w:id="433" w:name="_Toc519018205"/>
      <w:bookmarkStart w:id="434" w:name="_Toc519018346"/>
      <w:bookmarkStart w:id="435" w:name="_Toc523327694"/>
      <w:bookmarkEnd w:id="424"/>
      <w:bookmarkEnd w:id="425"/>
      <w:bookmarkEnd w:id="426"/>
      <w:bookmarkEnd w:id="427"/>
      <w:bookmarkEnd w:id="428"/>
      <w:bookmarkEnd w:id="429"/>
      <w:bookmarkEnd w:id="430"/>
      <w:bookmarkEnd w:id="431"/>
      <w:bookmarkEnd w:id="432"/>
      <w:bookmarkEnd w:id="433"/>
      <w:bookmarkEnd w:id="434"/>
      <w:r>
        <w:t xml:space="preserve">Structurer et </w:t>
      </w:r>
      <w:r w:rsidR="00172077">
        <w:t>r</w:t>
      </w:r>
      <w:r w:rsidR="00952923" w:rsidRPr="00611BE1">
        <w:t>enforcer les structures ressources dédiées</w:t>
      </w:r>
      <w:bookmarkEnd w:id="435"/>
    </w:p>
    <w:p w14:paraId="720151E0" w14:textId="7F0CAAFF" w:rsidR="00952923" w:rsidRPr="00952923" w:rsidRDefault="00952923" w:rsidP="00952923">
      <w:r>
        <w:t>Plusieurs structures d’offre de soins ont été dédiées à des publics spécifiques. Elles sont ciblées</w:t>
      </w:r>
      <w:r w:rsidR="00417578">
        <w:t xml:space="preserve"> soit</w:t>
      </w:r>
      <w:r>
        <w:t xml:space="preserve"> sur la déf</w:t>
      </w:r>
      <w:r>
        <w:t>i</w:t>
      </w:r>
      <w:r>
        <w:t xml:space="preserve">cience physique ou mentale, soit sur la situation financière des personnes concernées. </w:t>
      </w:r>
    </w:p>
    <w:p w14:paraId="37AEF13E" w14:textId="77777777" w:rsidR="00952923" w:rsidRDefault="00B40570" w:rsidP="00952923">
      <w:pPr>
        <w:pStyle w:val="Titre4"/>
      </w:pPr>
      <w:bookmarkStart w:id="436" w:name="_Toc523327695"/>
      <w:r>
        <w:t>Pour les</w:t>
      </w:r>
      <w:r w:rsidR="00952923">
        <w:t xml:space="preserve"> </w:t>
      </w:r>
      <w:r w:rsidR="00952923" w:rsidRPr="006C361B">
        <w:t>perso</w:t>
      </w:r>
      <w:r w:rsidR="00952923">
        <w:t>nnes en situation de handicap</w:t>
      </w:r>
      <w:bookmarkEnd w:id="436"/>
    </w:p>
    <w:p w14:paraId="4D699C88" w14:textId="07C35BE8" w:rsidR="00952923" w:rsidRDefault="00952923" w:rsidP="00D948B7">
      <w:pPr>
        <w:pStyle w:val="Corpsdetexte"/>
        <w:ind w:firstLine="284"/>
      </w:pPr>
      <w:r>
        <w:t>L’accès aux soins des personnes en situation de handicap a été reconnu comme une des dimensions de l’intégration à la vie de la cité.</w:t>
      </w:r>
      <w:r w:rsidR="00D41F3B">
        <w:t xml:space="preserve"> Ce principe a été réaffirmé par la loi du 11 février 2005. </w:t>
      </w:r>
      <w:r>
        <w:t xml:space="preserve"> Les personnes en situation de handicap relèvent du système de santé de droit commun pour l'ensemble de leurs soins, principe qui guide les politiques de santé conduites. </w:t>
      </w:r>
    </w:p>
    <w:p w14:paraId="67A6F268" w14:textId="77777777" w:rsidR="00952923" w:rsidRDefault="00952923" w:rsidP="00D948B7">
      <w:pPr>
        <w:pStyle w:val="Corpsdetexte"/>
        <w:ind w:firstLine="284"/>
      </w:pPr>
      <w:r>
        <w:t xml:space="preserve">Dans son relevé de décision du 25 septembre 2013, le comité interministériel du handicap a indiqué que « les personnes handicapées, qu’elles résident en établissement ou à domicile, rencontrent encore des obstacles pour l’accès aux soins courants […], une bonne part de ces soins se reporte à l’hôpital où, là aussi, les prises en charge sont difficiles, notamment aux urgences ». </w:t>
      </w:r>
    </w:p>
    <w:p w14:paraId="0AAE7A4B" w14:textId="77777777" w:rsidR="00952923" w:rsidRDefault="00952923" w:rsidP="00D948B7">
      <w:pPr>
        <w:pStyle w:val="Corpsdetexte"/>
        <w:ind w:firstLine="284"/>
      </w:pPr>
      <w:r>
        <w:lastRenderedPageBreak/>
        <w:t xml:space="preserve">Afin de contribuer à lever les obstacles, la conférence nationale du handicap du 11 décembre 2014 </w:t>
      </w:r>
      <w:r w:rsidRPr="00DF53E5">
        <w:t>avait décidé</w:t>
      </w:r>
      <w:r w:rsidRPr="00172077">
        <w:t xml:space="preserve"> de</w:t>
      </w:r>
      <w:r>
        <w:t xml:space="preserve"> soutenir la mise en place de dispositifs de consultations de soins courants pour les personnes en situation de handicap.</w:t>
      </w:r>
    </w:p>
    <w:p w14:paraId="6296420C" w14:textId="0A58FA7B" w:rsidR="00952923" w:rsidRDefault="00952923" w:rsidP="00D948B7">
      <w:pPr>
        <w:pStyle w:val="Corpsdetexte"/>
        <w:ind w:firstLine="284"/>
      </w:pPr>
      <w:r>
        <w:t xml:space="preserve">Des consultations </w:t>
      </w:r>
      <w:r w:rsidRPr="006C361B">
        <w:t xml:space="preserve">de soins courants dédiées aux personnes en situation de handicap ont </w:t>
      </w:r>
      <w:r w:rsidR="00085338">
        <w:t xml:space="preserve">ainsi </w:t>
      </w:r>
      <w:r w:rsidRPr="006C361B">
        <w:t>été mises en place</w:t>
      </w:r>
      <w:r>
        <w:t xml:space="preserve"> depuis une circulaire d’octobre 2015</w:t>
      </w:r>
      <w:r w:rsidR="00085338">
        <w:t xml:space="preserve"> afin d’</w:t>
      </w:r>
      <w:r w:rsidR="00085338" w:rsidRPr="00081248">
        <w:t>offrir un accès aux soins courants aux personnes en situation de handicap en échec de soins en milieu ordinaire (</w:t>
      </w:r>
      <w:r w:rsidR="00D41F3B">
        <w:t>médecine générale</w:t>
      </w:r>
      <w:r w:rsidR="00085338" w:rsidRPr="00081248">
        <w:t>, gynécologie, dermatologie etc.).</w:t>
      </w:r>
      <w:r>
        <w:t xml:space="preserve"> </w:t>
      </w:r>
      <w:r w:rsidRPr="00081248">
        <w:t xml:space="preserve">Des crédits </w:t>
      </w:r>
      <w:r w:rsidR="00D41F3B">
        <w:t>du Fonds d’intervention régional (</w:t>
      </w:r>
      <w:r w:rsidRPr="00081248">
        <w:t>FIR</w:t>
      </w:r>
      <w:r w:rsidR="00D41F3B">
        <w:t>)</w:t>
      </w:r>
      <w:r w:rsidRPr="00081248">
        <w:t xml:space="preserve"> ont été alloués par la DGOS ces dernières années à hauteur </w:t>
      </w:r>
      <w:r w:rsidR="00085338">
        <w:t>d’un total de</w:t>
      </w:r>
      <w:r w:rsidRPr="00081248">
        <w:t xml:space="preserve"> 10 millions pour mettre en place ces dispositifs sur les territoires</w:t>
      </w:r>
      <w:r w:rsidR="00085338">
        <w:t>.</w:t>
      </w:r>
      <w:r w:rsidRPr="00081248">
        <w:t xml:space="preserve"> </w:t>
      </w:r>
    </w:p>
    <w:p w14:paraId="3970A60B" w14:textId="77777777" w:rsidR="00952923" w:rsidRDefault="00952923" w:rsidP="00D948B7">
      <w:pPr>
        <w:pStyle w:val="Corpsdetexte"/>
        <w:ind w:firstLine="284"/>
      </w:pPr>
      <w:r w:rsidRPr="00081248">
        <w:t>Ces dispositifs de consultations dédiées (en maison de santé pluri-professionnelle, en centre de santé</w:t>
      </w:r>
      <w:r>
        <w:t xml:space="preserve"> </w:t>
      </w:r>
      <w:r w:rsidRPr="00081248">
        <w:t>ou en établissement de santé, en fonction de l’offre de soins présente sur les territoires</w:t>
      </w:r>
      <w:r>
        <w:t>)</w:t>
      </w:r>
      <w:r w:rsidRPr="00081248">
        <w:t xml:space="preserve"> permettent la réalisation de consultations dans un cadre adapté (accessibilité des locaux, équipements adaptés, formation des professionnels, etc.) afin de faciliter l’accès aux soins courants dans les conditions du droit commun. </w:t>
      </w:r>
    </w:p>
    <w:p w14:paraId="319ECC1D" w14:textId="77777777" w:rsidR="00952923" w:rsidRDefault="00952923" w:rsidP="00D948B7">
      <w:pPr>
        <w:pStyle w:val="Corpsdetexte"/>
        <w:ind w:firstLine="284"/>
      </w:pPr>
      <w:r>
        <w:t xml:space="preserve">Par ailleurs, ces consultations permettent de faciliter l’articulation des soins courants avec le secteur médico-social de sorte que les établissements et services médicosociaux participent effectivement à l’accompagnement à la santé et à l’accès aux soins des personnes qu’ils suivent ou qu’ils accueillent. Elles permettent également l’accompagnement par des aidants familiaux ou professionnels. </w:t>
      </w:r>
    </w:p>
    <w:p w14:paraId="34093F64" w14:textId="77777777" w:rsidR="00952923" w:rsidRDefault="00952923" w:rsidP="00D948B7">
      <w:pPr>
        <w:pStyle w:val="Corpsdetexte"/>
        <w:ind w:firstLine="284"/>
      </w:pPr>
      <w:r>
        <w:t>Le bilan des consultations dédiées, dispositif encore récent, n’a pas été effectué</w:t>
      </w:r>
      <w:r>
        <w:rPr>
          <w:rStyle w:val="Appelnotedebasdep"/>
        </w:rPr>
        <w:footnoteReference w:id="52"/>
      </w:r>
      <w:r>
        <w:t xml:space="preserve">. Toutefois, la question de leur accessibilité géographique reste posée ainsi que celle de leur bonne articulation avec le secteur médico-social, là où il n’est pas possible d’envisager que le professionnel de santé se déplace. </w:t>
      </w:r>
    </w:p>
    <w:p w14:paraId="61D1A469" w14:textId="77777777" w:rsidR="00952923" w:rsidRDefault="00952923" w:rsidP="00A161F8">
      <w:pPr>
        <w:pStyle w:val="Corpsdetexte"/>
      </w:pPr>
      <w:r>
        <w:t>Les rapporteurs</w:t>
      </w:r>
      <w:r w:rsidRPr="006C361B">
        <w:t xml:space="preserve"> propose</w:t>
      </w:r>
      <w:r>
        <w:t>nt d’a</w:t>
      </w:r>
      <w:r w:rsidRPr="006C361B">
        <w:t>ugmenter</w:t>
      </w:r>
      <w:r>
        <w:t xml:space="preserve"> </w:t>
      </w:r>
      <w:r w:rsidRPr="006C361B">
        <w:t>le nombre d</w:t>
      </w:r>
      <w:r w:rsidRPr="007B699B">
        <w:t>es consultations dédiées</w:t>
      </w:r>
      <w:r>
        <w:t>.</w:t>
      </w:r>
      <w:r w:rsidR="00A161F8">
        <w:t xml:space="preserve"> </w:t>
      </w:r>
    </w:p>
    <w:p w14:paraId="429D3C1E" w14:textId="77777777" w:rsidR="00952923" w:rsidRDefault="00952923" w:rsidP="00A161F8">
      <w:pPr>
        <w:pStyle w:val="Corpsdetexte"/>
      </w:pPr>
      <w:r>
        <w:t xml:space="preserve">La démarche doit être bien coordonnée et s’appuyer, selon les recommandations de la circulaire de 2015, sur un état des lieux partagé de l’accès aux soins des personnes en situation de handicap avec l’ensemble des acteurs sanitaires et médicosociaux. Les représentants des personnes en situation de handicap doivent être associés à toutes les étapes de la mise en œuvre et le projet de niveau régional doit être lisible au sein d’une palette de soins organisée. </w:t>
      </w:r>
    </w:p>
    <w:p w14:paraId="25181AEC" w14:textId="128DF4FD" w:rsidR="00952923" w:rsidRDefault="00952923" w:rsidP="00376454">
      <w:pPr>
        <w:pStyle w:val="EncadreCorpsdeTexte"/>
      </w:pPr>
      <w:r>
        <w:t>Proposition n°</w:t>
      </w:r>
      <w:r w:rsidR="0089253F">
        <w:t>2</w:t>
      </w:r>
      <w:r w:rsidR="00422705">
        <w:t>7</w:t>
      </w:r>
      <w:r>
        <w:t xml:space="preserve"> – </w:t>
      </w:r>
      <w:r w:rsidR="00D41F3B">
        <w:t>E</w:t>
      </w:r>
      <w:r>
        <w:t>tablir un état des lieux partagé des consultations dédiées pour, le cas échéant, augme</w:t>
      </w:r>
      <w:r>
        <w:t>n</w:t>
      </w:r>
      <w:r>
        <w:t>ter leur nombre</w:t>
      </w:r>
      <w:r w:rsidR="00D41F3B">
        <w:t>.</w:t>
      </w:r>
    </w:p>
    <w:p w14:paraId="28CDA947" w14:textId="3CF5EC09" w:rsidR="00952923" w:rsidRDefault="00B40570" w:rsidP="00952923">
      <w:pPr>
        <w:pStyle w:val="Titre4"/>
      </w:pPr>
      <w:bookmarkStart w:id="437" w:name="_Toc523327696"/>
      <w:r>
        <w:t>Pour les</w:t>
      </w:r>
      <w:r w:rsidR="00952923" w:rsidRPr="006C361B">
        <w:t xml:space="preserve"> personnes en exclusion sociale</w:t>
      </w:r>
      <w:bookmarkEnd w:id="437"/>
    </w:p>
    <w:p w14:paraId="740E0BA2" w14:textId="692912DC" w:rsidR="0070340B" w:rsidRPr="001B2DFC" w:rsidRDefault="0070340B" w:rsidP="00D948B7">
      <w:pPr>
        <w:pStyle w:val="Corpsdetexte"/>
        <w:ind w:firstLine="284"/>
      </w:pPr>
      <w:r w:rsidRPr="001B2DFC">
        <w:t xml:space="preserve">Structures ressources adossées aux hôpitaux, les PASS </w:t>
      </w:r>
      <w:r w:rsidR="00D41F3B">
        <w:t>(</w:t>
      </w:r>
      <w:r w:rsidRPr="001B2DFC">
        <w:t>généralistes et spécialisées) sont dédiées aux personnes en situation de précarité qui ont des difficultés d’accès au système de santé. Créées par la loi de lutte contre les exclusions de 1998 et organisées par une circulaire de 2013, elles dél</w:t>
      </w:r>
      <w:r w:rsidRPr="001B2DFC">
        <w:t>i</w:t>
      </w:r>
      <w:r w:rsidRPr="001B2DFC">
        <w:t>vrent des soins, peuvent s’appuyer pour cela sur les autres services de l’établissement de santé (hospitalisation si nécessaire, consultations spécifiques,</w:t>
      </w:r>
      <w:r w:rsidR="00E95A5A">
        <w:t xml:space="preserve"> etc.</w:t>
      </w:r>
      <w:r w:rsidRPr="001B2DFC">
        <w:t xml:space="preserve">), et accompagnent les personnes dans les démarches nécessaires à l’accès à une couverture de santé lorsqu’elles n’en disposent pas. Enfin, elles orientent les patients pour assurer la continuité de leur prise en charge à la sortie de la PASS.  </w:t>
      </w:r>
    </w:p>
    <w:p w14:paraId="59E144C7" w14:textId="77777777" w:rsidR="0070340B" w:rsidRPr="001B2DFC" w:rsidRDefault="0070340B" w:rsidP="00D948B7">
      <w:pPr>
        <w:pStyle w:val="Corpsdetexte"/>
        <w:ind w:firstLine="284"/>
      </w:pPr>
      <w:r w:rsidRPr="001B2DFC">
        <w:t>Assurant un accueil inconditionnel par des professionnels de santé, des personnels paramédicaux et des travai</w:t>
      </w:r>
      <w:r w:rsidRPr="001B2DFC">
        <w:t>l</w:t>
      </w:r>
      <w:r w:rsidRPr="001B2DFC">
        <w:t>leurs sociaux et permettant d’accéder le cas échéant aux plateaux techniques, elles permettent une prise en charge globale des patients et offrent une alternative au recours systématique aux urgences pour des cas qui ne relèvent pas d’une nécess</w:t>
      </w:r>
      <w:r>
        <w:t xml:space="preserve">ité absolue d’hospitalisation. </w:t>
      </w:r>
    </w:p>
    <w:p w14:paraId="70379B77" w14:textId="1DFE643B" w:rsidR="0070340B" w:rsidRPr="001B2DFC" w:rsidRDefault="0070340B" w:rsidP="00D948B7">
      <w:pPr>
        <w:pStyle w:val="Corpsdetexte"/>
        <w:ind w:firstLine="284"/>
      </w:pPr>
      <w:r w:rsidRPr="001B2DFC">
        <w:lastRenderedPageBreak/>
        <w:t>A l’interface entre le champ sanitaire et social, les PASS s’inscrivent dans le cadre des Programmes régionaux pour l’accès à la pr</w:t>
      </w:r>
      <w:r>
        <w:t>évention et aux soins (</w:t>
      </w:r>
      <w:r w:rsidR="00D41F3B">
        <w:t>PRAPS</w:t>
      </w:r>
      <w:r w:rsidR="0002075A">
        <w:t>)</w:t>
      </w:r>
      <w:r>
        <w:t xml:space="preserve">. </w:t>
      </w:r>
      <w:r w:rsidRPr="001B2DFC">
        <w:t>Toutefois, le développement et le fonctionnement des PASS re</w:t>
      </w:r>
      <w:r w:rsidRPr="001B2DFC">
        <w:t>s</w:t>
      </w:r>
      <w:r w:rsidRPr="001B2DFC">
        <w:t>tent très hétérogènes</w:t>
      </w:r>
      <w:r w:rsidRPr="001B2DFC">
        <w:rPr>
          <w:vertAlign w:val="superscript"/>
        </w:rPr>
        <w:footnoteReference w:id="53"/>
      </w:r>
      <w:r w:rsidRPr="001B2DFC">
        <w:t xml:space="preserve"> alors même que ces dispositifs mêlant soins et approche sociale sont une réponse adaptée aux personnes les plus démunies. </w:t>
      </w:r>
    </w:p>
    <w:p w14:paraId="20540A36" w14:textId="2B948824" w:rsidR="0070340B" w:rsidRPr="001B2DFC" w:rsidRDefault="0070340B" w:rsidP="00D948B7">
      <w:pPr>
        <w:pStyle w:val="Corpsdetexte"/>
        <w:ind w:firstLine="284"/>
      </w:pPr>
      <w:r w:rsidRPr="001B2DFC">
        <w:t>Par ailleurs</w:t>
      </w:r>
      <w:r w:rsidR="00D948B7">
        <w:t>,</w:t>
      </w:r>
      <w:r w:rsidRPr="001B2DFC">
        <w:t xml:space="preserve"> tous les acteurs auditionnés ont fait état d’une saturation des PASS</w:t>
      </w:r>
      <w:r w:rsidRPr="001B2DFC">
        <w:rPr>
          <w:vertAlign w:val="superscript"/>
        </w:rPr>
        <w:footnoteReference w:id="54"/>
      </w:r>
      <w:r w:rsidRPr="001B2DFC">
        <w:t xml:space="preserve"> qui sont encore limitées dans leurs implantations</w:t>
      </w:r>
      <w:r w:rsidRPr="001B2DFC">
        <w:rPr>
          <w:vertAlign w:val="superscript"/>
        </w:rPr>
        <w:footnoteReference w:id="55"/>
      </w:r>
      <w:r w:rsidRPr="001B2DFC">
        <w:t>. Face à une augmentation et une modification des besoins</w:t>
      </w:r>
      <w:r w:rsidRPr="001B2DFC">
        <w:rPr>
          <w:vertAlign w:val="superscript"/>
        </w:rPr>
        <w:footnoteReference w:id="56"/>
      </w:r>
      <w:r w:rsidRPr="001B2DFC">
        <w:t>, certaines ne peuvent plus rec</w:t>
      </w:r>
      <w:r w:rsidRPr="001B2DFC">
        <w:t>e</w:t>
      </w:r>
      <w:r w:rsidRPr="001B2DFC">
        <w:t>voir que sur rendez-vous avec des délais qui peuvent atteindre plusieurs semaines.</w:t>
      </w:r>
    </w:p>
    <w:p w14:paraId="53187556" w14:textId="77777777" w:rsidR="0070340B" w:rsidRPr="001B2DFC" w:rsidRDefault="0070340B" w:rsidP="0070340B">
      <w:pPr>
        <w:pStyle w:val="Corpsdetexte"/>
      </w:pPr>
      <w:r w:rsidRPr="001B2DFC">
        <w:t xml:space="preserve">La proposition de la mission consiste à </w:t>
      </w:r>
      <w:r>
        <w:t>:</w:t>
      </w:r>
    </w:p>
    <w:p w14:paraId="6C5A352A" w14:textId="1F3C442A" w:rsidR="0070340B" w:rsidRPr="001B2DFC" w:rsidRDefault="0070340B" w:rsidP="0070340B">
      <w:pPr>
        <w:pStyle w:val="EncadreCorpsdeTexte"/>
      </w:pPr>
      <w:r w:rsidRPr="001B2DFC">
        <w:t>Proposition n°</w:t>
      </w:r>
      <w:r w:rsidR="000E4619" w:rsidRPr="001B2DFC">
        <w:t>2</w:t>
      </w:r>
      <w:r w:rsidR="00422705">
        <w:t>8</w:t>
      </w:r>
      <w:r w:rsidR="000E4619" w:rsidRPr="001B2DFC">
        <w:t xml:space="preserve"> </w:t>
      </w:r>
      <w:r w:rsidRPr="001B2DFC">
        <w:t>- Mettre en place des permanences d’accès aux soins (PASS) référencées dans des centres hospitaliers sur chaque territoire significatif</w:t>
      </w:r>
      <w:r>
        <w:t>, avec un maillage suffisant pour garantir la proximité géogr</w:t>
      </w:r>
      <w:r>
        <w:t>a</w:t>
      </w:r>
      <w:r>
        <w:t>phique du</w:t>
      </w:r>
      <w:r w:rsidRPr="001B2DFC">
        <w:t xml:space="preserve"> </w:t>
      </w:r>
      <w:r>
        <w:t>PASS</w:t>
      </w:r>
      <w:r w:rsidR="00D41F3B">
        <w:t>.</w:t>
      </w:r>
    </w:p>
    <w:p w14:paraId="5BB66CB0" w14:textId="77777777" w:rsidR="0070340B" w:rsidRPr="001B2DFC" w:rsidRDefault="0070340B" w:rsidP="0070340B">
      <w:pPr>
        <w:pStyle w:val="Corpsdetexte"/>
      </w:pPr>
      <w:r w:rsidRPr="001B2DFC">
        <w:t xml:space="preserve">De même, le réseau des accueils à finalité de prévention des risques et d’addictologie, avec hébergement et suivi social devrait-il s’inscrire dans un maillage plus dense. </w:t>
      </w:r>
    </w:p>
    <w:p w14:paraId="74E3BE97" w14:textId="4492C9FC" w:rsidR="00952923" w:rsidRDefault="00952923" w:rsidP="00D948B7">
      <w:pPr>
        <w:pStyle w:val="Corpsdetexte"/>
        <w:ind w:firstLine="284"/>
      </w:pPr>
      <w:r>
        <w:t>Outre les PASS et les structures de prévention des risques et de lutte contre les addictions, des dispositifs e</w:t>
      </w:r>
      <w:r>
        <w:t>n</w:t>
      </w:r>
      <w:r>
        <w:t xml:space="preserve">core plus spécifiques sont dédiés à la grande précarité : les </w:t>
      </w:r>
      <w:r w:rsidR="00D41F3B">
        <w:t>LAM</w:t>
      </w:r>
      <w:r>
        <w:t xml:space="preserve"> et les </w:t>
      </w:r>
      <w:r w:rsidR="00D41F3B">
        <w:t>LHSS</w:t>
      </w:r>
      <w:r>
        <w:t xml:space="preserve"> gérés par la DGCS. </w:t>
      </w:r>
    </w:p>
    <w:p w14:paraId="601390BA" w14:textId="6694DC73" w:rsidR="00952923" w:rsidRDefault="00952923" w:rsidP="00A161F8">
      <w:pPr>
        <w:pStyle w:val="Corpsdetexte"/>
      </w:pPr>
      <w:r w:rsidRPr="006C361B">
        <w:t xml:space="preserve">Les </w:t>
      </w:r>
      <w:r>
        <w:t>LAM</w:t>
      </w:r>
      <w:r>
        <w:rPr>
          <w:rStyle w:val="Appelnotedebasdep"/>
        </w:rPr>
        <w:footnoteReference w:id="57"/>
      </w:r>
      <w:r w:rsidRPr="006C361B">
        <w:t xml:space="preserve"> et les </w:t>
      </w:r>
      <w:r>
        <w:t>LHSS</w:t>
      </w:r>
      <w:r>
        <w:rPr>
          <w:rStyle w:val="Appelnotedebasdep"/>
        </w:rPr>
        <w:footnoteReference w:id="58"/>
      </w:r>
      <w:r w:rsidRPr="006C361B">
        <w:t xml:space="preserve"> sont des établissements médico-sociaux qui accueillent les personnes sans domicile fixe et leur offrent une prise en charge médico-sociale</w:t>
      </w:r>
      <w:r>
        <w:t xml:space="preserve"> (</w:t>
      </w:r>
      <w:r w:rsidRPr="00EA1EEF">
        <w:rPr>
          <w:i/>
        </w:rPr>
        <w:t>cf.</w:t>
      </w:r>
      <w:r>
        <w:t xml:space="preserve"> annexe </w:t>
      </w:r>
      <w:r w:rsidR="00172077" w:rsidRPr="00172077">
        <w:t>17</w:t>
      </w:r>
      <w:r w:rsidRPr="00172077">
        <w:t>).</w:t>
      </w:r>
      <w:r w:rsidRPr="006C361B">
        <w:t xml:space="preserve"> Ils ne se substituent pas à l’hôpital et ne sont pas dédiés à une pathologie donnée. </w:t>
      </w:r>
    </w:p>
    <w:p w14:paraId="69A422BC" w14:textId="77777777" w:rsidR="00952923" w:rsidRDefault="00952923" w:rsidP="00A161F8">
      <w:pPr>
        <w:pStyle w:val="Corpsdetexte"/>
      </w:pPr>
      <w:r>
        <w:t>Particulièrement pertinents pour les personnes en situation de précarité, ces dispositifs offrent un nombre de places très insuffisant.</w:t>
      </w:r>
    </w:p>
    <w:p w14:paraId="58D5671A" w14:textId="77777777" w:rsidR="00952923" w:rsidRPr="00376454" w:rsidRDefault="00952923" w:rsidP="00376454">
      <w:pPr>
        <w:pStyle w:val="Corpsdetexte"/>
        <w:rPr>
          <w:b/>
        </w:rPr>
      </w:pPr>
      <w:r>
        <w:t xml:space="preserve">Ces structures existantes doivent être renforcées à l’issue de l’analyse précise des besoins déjà engagée par la DGCS, afin d’adapter la réponse aux besoins géographiques exprimés. </w:t>
      </w:r>
      <w:r w:rsidRPr="0061270F">
        <w:t>La stratégie nationale de lutte contre la pa</w:t>
      </w:r>
      <w:r w:rsidRPr="0061270F">
        <w:t>u</w:t>
      </w:r>
      <w:r w:rsidRPr="0061270F">
        <w:t>vreté envisage un objectif correspondant à des</w:t>
      </w:r>
      <w:r w:rsidRPr="0061270F">
        <w:rPr>
          <w:b/>
        </w:rPr>
        <w:t xml:space="preserve"> </w:t>
      </w:r>
      <w:r w:rsidRPr="000F4A4C">
        <w:t>besoins exprimés par les ARS (à l’horizon 2021) de 750 LHSS et 700 LAM à créer pour atteindre un niveau d’équipement satisfaisant, mais cela suppose également une répartition géographique harmonisée.</w:t>
      </w:r>
      <w:r w:rsidRPr="0061270F">
        <w:rPr>
          <w:b/>
        </w:rPr>
        <w:t xml:space="preserve"> </w:t>
      </w:r>
    </w:p>
    <w:p w14:paraId="0DE1445D" w14:textId="2E2C2DB9" w:rsidR="00952923" w:rsidRDefault="00952923" w:rsidP="00376454">
      <w:pPr>
        <w:pStyle w:val="Corpsdetexte"/>
      </w:pPr>
      <w:r w:rsidRPr="00376454">
        <w:t>De même, l’offre d‘</w:t>
      </w:r>
      <w:r w:rsidR="00D41F3B">
        <w:t>ACT</w:t>
      </w:r>
      <w:r w:rsidRPr="00D41F3B">
        <w:rPr>
          <w:vertAlign w:val="superscript"/>
        </w:rPr>
        <w:footnoteReference w:id="59"/>
      </w:r>
      <w:r w:rsidRPr="00376454">
        <w:t>, initialement conçus pour accueillir des personnes atteintes du VIH et désormais plus largement dédiés aux pathologies chroniques sévères (cancers, hép</w:t>
      </w:r>
      <w:r w:rsidRPr="00376454">
        <w:t>a</w:t>
      </w:r>
      <w:r w:rsidRPr="00376454">
        <w:t xml:space="preserve">tites chroniques évolutives, maladies cardio-vasculaires, diabète) doit être étendue. Compte tenu des besoins non satisfaits, le nombre de places à créer d’ici 2022 est estimé à 600. </w:t>
      </w:r>
    </w:p>
    <w:p w14:paraId="16085730" w14:textId="6FE2D6C4" w:rsidR="00C7777F" w:rsidRDefault="00952923" w:rsidP="00376454">
      <w:pPr>
        <w:pStyle w:val="EncadreCorpsdeTexte"/>
      </w:pPr>
      <w:r>
        <w:lastRenderedPageBreak/>
        <w:t>Proposition n°</w:t>
      </w:r>
      <w:r w:rsidR="000E4619">
        <w:t>2</w:t>
      </w:r>
      <w:r w:rsidR="00422705">
        <w:t>9</w:t>
      </w:r>
      <w:r w:rsidR="000E4619">
        <w:t xml:space="preserve"> </w:t>
      </w:r>
      <w:r>
        <w:t xml:space="preserve">– </w:t>
      </w:r>
      <w:r w:rsidR="00D41F3B">
        <w:t>A</w:t>
      </w:r>
      <w:r>
        <w:t xml:space="preserve">ugmenter significativement le nombre de places </w:t>
      </w:r>
      <w:r w:rsidR="00376454">
        <w:t>disponibles en LAM, LHSS et ACT</w:t>
      </w:r>
      <w:r w:rsidR="00D41F3B">
        <w:t>.</w:t>
      </w:r>
    </w:p>
    <w:p w14:paraId="59059724" w14:textId="77777777" w:rsidR="00376454" w:rsidRPr="00376454" w:rsidRDefault="00376454" w:rsidP="00376454">
      <w:pPr>
        <w:pStyle w:val="Titre3"/>
      </w:pPr>
      <w:bookmarkStart w:id="438" w:name="_Toc517957826"/>
      <w:bookmarkStart w:id="439" w:name="_Toc518750569"/>
      <w:bookmarkStart w:id="440" w:name="_Toc523327697"/>
      <w:r w:rsidRPr="00376454">
        <w:t>Mettre fin au refus de soins</w:t>
      </w:r>
      <w:bookmarkEnd w:id="438"/>
      <w:bookmarkEnd w:id="439"/>
      <w:bookmarkEnd w:id="440"/>
    </w:p>
    <w:p w14:paraId="46841D97" w14:textId="77777777" w:rsidR="00376454" w:rsidRPr="00376454" w:rsidRDefault="00376454" w:rsidP="00D948B7">
      <w:pPr>
        <w:pStyle w:val="Corpsdetexte"/>
        <w:ind w:firstLine="284"/>
      </w:pPr>
      <w:r w:rsidRPr="00376454">
        <w:t>Par nature, les soins sont dispensés par des professionnels de santé ou des établissements. Malgré tous les e</w:t>
      </w:r>
      <w:r w:rsidRPr="00376454">
        <w:t>f</w:t>
      </w:r>
      <w:r w:rsidRPr="00376454">
        <w:t xml:space="preserve">forts portés vers l’amélioration de l’accès à une couverture santé et de l’accessibilité financière aux soins, les comportements et pratiques de certains professionnels et établissements de santé peuvent </w:t>
      </w:r>
      <w:r w:rsidRPr="00376454">
        <w:rPr>
          <w:i/>
        </w:rPr>
        <w:t>in fine</w:t>
      </w:r>
      <w:r w:rsidRPr="00376454">
        <w:t xml:space="preserve"> constituer un obstacl</w:t>
      </w:r>
      <w:r>
        <w:t>e à l’accès effectif aux soins.</w:t>
      </w:r>
    </w:p>
    <w:p w14:paraId="556FF7B4" w14:textId="6C55FEC2" w:rsidR="00376454" w:rsidRPr="00376454" w:rsidRDefault="00376454" w:rsidP="00D948B7">
      <w:pPr>
        <w:pStyle w:val="Corpsdetexte"/>
        <w:ind w:firstLine="284"/>
      </w:pPr>
      <w:r w:rsidRPr="00376454">
        <w:t>Le refus de soigner une personne - dans des conditions de délai et de qualité identiques à celles proposées à tout autre assuré -, en raison de son état de santé, de son handicap, de sa situation sociale ou de la spécificité de la couverture maladie dont il dispose (CMU</w:t>
      </w:r>
      <w:r w:rsidRPr="00376454">
        <w:noBreakHyphen/>
        <w:t>C, ACS, AME</w:t>
      </w:r>
      <w:r w:rsidR="00E95A5A">
        <w:t>, etc.</w:t>
      </w:r>
      <w:r w:rsidRPr="00376454">
        <w:t>), constitue une discrimination contraire à la loi</w:t>
      </w:r>
      <w:r w:rsidRPr="00376454">
        <w:rPr>
          <w:vertAlign w:val="superscript"/>
        </w:rPr>
        <w:footnoteReference w:id="60"/>
      </w:r>
      <w:r w:rsidRPr="00376454">
        <w:t xml:space="preserve"> et au serment d’Hippocrate. Toutefois, la réorientation d’un patient vers un autre professionnel ne constitue pas néce</w:t>
      </w:r>
      <w:r w:rsidRPr="00376454">
        <w:t>s</w:t>
      </w:r>
      <w:r w:rsidRPr="00376454">
        <w:t>sairement un refus de soin</w:t>
      </w:r>
      <w:r w:rsidRPr="00376454">
        <w:rPr>
          <w:vertAlign w:val="superscript"/>
        </w:rPr>
        <w:footnoteReference w:id="61"/>
      </w:r>
      <w:r w:rsidRPr="00376454">
        <w:t>. L’article L.1110-3 du code de la santé publique dispose en effet que «</w:t>
      </w:r>
      <w:r w:rsidR="00864D7B">
        <w:t xml:space="preserve"> </w:t>
      </w:r>
      <w:r w:rsidRPr="00376454">
        <w:t xml:space="preserve">hors le cas d'urgence et celui où le professionnel de santé manquerait à ses devoirs d'humanité », le praticien peut refuser de soigner dès lors que cela est « fondé sur une exigence personnelle ou professionnelle essentielle et déterminante de la qualité, de la sécurité ou de l'efficacité des soins ». </w:t>
      </w:r>
    </w:p>
    <w:p w14:paraId="437EAA07" w14:textId="60CFCF6E" w:rsidR="00376454" w:rsidRPr="00376454" w:rsidRDefault="00376454" w:rsidP="00D948B7">
      <w:pPr>
        <w:pStyle w:val="Corpsdetexte"/>
        <w:ind w:firstLine="284"/>
      </w:pPr>
      <w:r w:rsidRPr="00376454">
        <w:t>De nombreuses études, testings et travaux de recherche ont démontré l’existence de refus de soins</w:t>
      </w:r>
      <w:r w:rsidRPr="00376454">
        <w:rPr>
          <w:vertAlign w:val="superscript"/>
        </w:rPr>
        <w:footnoteReference w:id="62"/>
      </w:r>
      <w:r w:rsidRPr="00376454">
        <w:t>. Ils se manifestent à chaque étape de l’accès aux soins des personnes </w:t>
      </w:r>
      <w:r w:rsidR="0070340B">
        <w:t>handicapées ou en exclusion</w:t>
      </w:r>
      <w:r w:rsidR="003604F3">
        <w:t>.</w:t>
      </w:r>
      <w:r w:rsidRPr="00376454">
        <w:t xml:space="preserve"> </w:t>
      </w:r>
    </w:p>
    <w:p w14:paraId="6D4DAF20" w14:textId="12A3CB93" w:rsidR="00376454" w:rsidRPr="00376454" w:rsidRDefault="00864D7B" w:rsidP="00EA1EEF">
      <w:pPr>
        <w:pStyle w:val="Corpsdetexte"/>
        <w:numPr>
          <w:ilvl w:val="0"/>
          <w:numId w:val="56"/>
        </w:numPr>
      </w:pPr>
      <w:r>
        <w:t>l</w:t>
      </w:r>
      <w:r w:rsidR="00A91DEF" w:rsidRPr="00376454">
        <w:t>ors</w:t>
      </w:r>
      <w:r w:rsidR="00376454" w:rsidRPr="00376454">
        <w:t xml:space="preserve"> du premier contact avec le professionnel (refus de recevoir, délais élevés pour la prise de </w:t>
      </w:r>
      <w:r>
        <w:t>re</w:t>
      </w:r>
      <w:r>
        <w:t>n</w:t>
      </w:r>
      <w:r>
        <w:t>dez-vous</w:t>
      </w:r>
      <w:r w:rsidR="00376454" w:rsidRPr="00376454">
        <w:t xml:space="preserve">, créneaux de </w:t>
      </w:r>
      <w:r>
        <w:t>rendez-vous</w:t>
      </w:r>
      <w:r w:rsidR="00376454" w:rsidRPr="00376454">
        <w:t xml:space="preserve"> spécifiques, orientation répétée et abusive vers un centre de santé, une consultation externe à l’hôpital ou un autre professionnel sans raison médicale ou de surcharge de travail énoncée), </w:t>
      </w:r>
    </w:p>
    <w:p w14:paraId="58443DA2" w14:textId="30C57C94" w:rsidR="00376454" w:rsidRPr="00376454" w:rsidRDefault="00864D7B" w:rsidP="00EA1EEF">
      <w:pPr>
        <w:pStyle w:val="Corpsdetexte"/>
        <w:numPr>
          <w:ilvl w:val="0"/>
          <w:numId w:val="56"/>
        </w:numPr>
      </w:pPr>
      <w:r>
        <w:t>l</w:t>
      </w:r>
      <w:r w:rsidR="00A91DEF" w:rsidRPr="00376454">
        <w:t>ors</w:t>
      </w:r>
      <w:r w:rsidR="00376454" w:rsidRPr="00376454">
        <w:t xml:space="preserve"> de la consultation et de la délivrance des soins : refus d’appliquer le tiers-payant alors que les p</w:t>
      </w:r>
      <w:r w:rsidR="00376454" w:rsidRPr="00376454">
        <w:t>a</w:t>
      </w:r>
      <w:r w:rsidR="00376454" w:rsidRPr="00376454">
        <w:t>tients en bénéficient du fait de leur couverture maladie (CMU-C, ACS, AME), application de dépassements d’honoraires pourtant non autorisés (CMU-C, ACS), abaissement de la norme de prise en charge médicale par rapport aux standards.</w:t>
      </w:r>
    </w:p>
    <w:p w14:paraId="4CFD55FA" w14:textId="2348F9C2" w:rsidR="00376454" w:rsidRPr="00376454" w:rsidRDefault="00376454" w:rsidP="00D948B7">
      <w:pPr>
        <w:pStyle w:val="Corpsdetexte"/>
        <w:ind w:firstLine="284"/>
      </w:pPr>
      <w:r w:rsidRPr="00376454">
        <w:t>L’enjeu aujourd’hui n’est pas tant de quantifier à nouveau mais plutôt de mettre en place les moyens effectifs de lutte contre les discriminations lors de l’accès aux soins, compte tenu des conséquences qu’elles peuvent avoir, qui vont au-delà des conséquences négatives évidentes sur l’état de santé des personnes démunies. Les discrim</w:t>
      </w:r>
      <w:r w:rsidRPr="00376454">
        <w:t>i</w:t>
      </w:r>
      <w:r w:rsidRPr="00376454">
        <w:t>nations de fait se traduisent par des anticipations de discrimination, intégrées par les usagers. Elles renforcent ainsi le renoncement aux soins et altèrent la confiance dans le système de santé. Elles peuvent aussi avoir des cons</w:t>
      </w:r>
      <w:r w:rsidRPr="00376454">
        <w:t>é</w:t>
      </w:r>
      <w:r w:rsidRPr="00376454">
        <w:t>quences importantes sur l’organisation de l’offre et son financement, dès lors qu’elles incitent à un report vers d’autres formes de prises en charge - vers l’hôpital (recours non pertinent aux urgences) ou vers des structures « adaptées » (permanences d’accès aux soins de santé, centres de santé</w:t>
      </w:r>
      <w:r w:rsidR="00E95A5A">
        <w:t>, etc.</w:t>
      </w:r>
      <w:r w:rsidRPr="00376454">
        <w:t>) - et portent ainsi en germe une m</w:t>
      </w:r>
      <w:r w:rsidRPr="00376454">
        <w:t>é</w:t>
      </w:r>
      <w:r w:rsidRPr="00376454">
        <w:t xml:space="preserve">decine à deux vitesses, contraire au principe inclusif du système d’assurance maladie.  </w:t>
      </w:r>
    </w:p>
    <w:p w14:paraId="2DD847C4" w14:textId="4EF2C4C7" w:rsidR="00376454" w:rsidRPr="00376454" w:rsidRDefault="00376454" w:rsidP="00D948B7">
      <w:pPr>
        <w:pStyle w:val="Corpsdetexte"/>
        <w:ind w:firstLine="284"/>
      </w:pPr>
      <w:r w:rsidRPr="00376454">
        <w:t>La loi permet aux personnes de saisir les organismes compétents en cas de refus de soins</w:t>
      </w:r>
      <w:r w:rsidRPr="00376454">
        <w:rPr>
          <w:vertAlign w:val="superscript"/>
        </w:rPr>
        <w:footnoteReference w:id="63"/>
      </w:r>
      <w:r w:rsidRPr="00376454">
        <w:t> : la direction des CPAM ou le conciliateur de la caisse, les conseils départementaux des ordres nationaux des professionnels de sa</w:t>
      </w:r>
      <w:r w:rsidRPr="00376454">
        <w:t>n</w:t>
      </w:r>
      <w:r w:rsidRPr="00376454">
        <w:t xml:space="preserve">té, le défenseur des droits.  Dans les faits, très peu de cas font l’objet de saisines. En 2016, 766 cas </w:t>
      </w:r>
      <w:r w:rsidR="00CC5A76">
        <w:t xml:space="preserve">ont été </w:t>
      </w:r>
      <w:r w:rsidRPr="00376454">
        <w:t xml:space="preserve">recensés par la mission conciliation de la CNAM. </w:t>
      </w:r>
    </w:p>
    <w:p w14:paraId="5D45EBEA" w14:textId="77777777" w:rsidR="00376454" w:rsidRPr="00376454" w:rsidRDefault="00376454" w:rsidP="00D948B7">
      <w:pPr>
        <w:pStyle w:val="Corpsdetexte"/>
        <w:ind w:firstLine="284"/>
      </w:pPr>
      <w:r w:rsidRPr="00376454">
        <w:lastRenderedPageBreak/>
        <w:t>Lors de nos auditions, les assurés rencontrés ayant fait l’objet de refus de soins ont fait part de leurs difficultés à engager une telle démarche, même avec le soutien des associations, leur préoccupation première étant de tro</w:t>
      </w:r>
      <w:r w:rsidRPr="00376454">
        <w:t>u</w:t>
      </w:r>
      <w:r w:rsidRPr="00376454">
        <w:t xml:space="preserve">ver un professionnel qui accepte de les soigner.  </w:t>
      </w:r>
    </w:p>
    <w:p w14:paraId="5E78554F" w14:textId="5273ED18" w:rsidR="00376454" w:rsidRDefault="00376454" w:rsidP="00D948B7">
      <w:pPr>
        <w:pStyle w:val="Corpsdetexte"/>
        <w:ind w:firstLine="284"/>
      </w:pPr>
      <w:r w:rsidRPr="00376454">
        <w:t>De fait, la résolution de cette question du refus de soins s’est enlisée dans un débat cristallisé autour de l’ordre de grandeur du refus de soins, de la qualité des testings, déplaçant l’enjeu de la lutte contre le refus de soins vers un enjeu d’évaluation tout en reléguant la réalité du refus de soins au second plan qui</w:t>
      </w:r>
      <w:r w:rsidR="00864D7B">
        <w:t>,</w:t>
      </w:r>
      <w:r w:rsidRPr="00376454">
        <w:t xml:space="preserve"> fusse-t-il marginal, est co</w:t>
      </w:r>
      <w:r w:rsidRPr="00376454">
        <w:t>n</w:t>
      </w:r>
      <w:r w:rsidRPr="00376454">
        <w:t xml:space="preserve">traire à la loi et au code de déontologie. </w:t>
      </w:r>
    </w:p>
    <w:p w14:paraId="496DA7B7" w14:textId="549C642C" w:rsidR="00052C68" w:rsidRPr="00376454" w:rsidRDefault="00052C68" w:rsidP="00D948B7">
      <w:pPr>
        <w:pStyle w:val="Corpsdetexte"/>
        <w:ind w:firstLine="284"/>
      </w:pPr>
      <w:r>
        <w:t xml:space="preserve">La loi de modernisation de notre système de santé de 2016 </w:t>
      </w:r>
      <w:r w:rsidR="00A91DEF">
        <w:t>réaffirme</w:t>
      </w:r>
      <w:r>
        <w:t xml:space="preserve"> toutefois l’enjeu de l’</w:t>
      </w:r>
      <w:r w:rsidR="00A91DEF">
        <w:t>évaluation</w:t>
      </w:r>
      <w:r>
        <w:t> : elle in</w:t>
      </w:r>
      <w:r>
        <w:t>s</w:t>
      </w:r>
      <w:r>
        <w:t>titue une commission chargée d’évaluer les pratiques de refus de soins opposés par les médecins, chirurgiens-dentistes et sages-femmes, auprès de chaque conseil national des ordres des professionnels de santé médicaux concernés.</w:t>
      </w:r>
    </w:p>
    <w:p w14:paraId="0EC80687" w14:textId="083C30A8" w:rsidR="00376454" w:rsidRPr="00376454" w:rsidRDefault="00376454" w:rsidP="00D948B7">
      <w:pPr>
        <w:pStyle w:val="CorpsdetexteCentre"/>
        <w:ind w:firstLine="284"/>
        <w:jc w:val="both"/>
      </w:pPr>
      <w:r w:rsidRPr="00376454">
        <w:t>Nos auditions ont mis en évidence une implication importante de chacun des acteurs dans la lutte contre le r</w:t>
      </w:r>
      <w:r w:rsidRPr="00376454">
        <w:t>e</w:t>
      </w:r>
      <w:r w:rsidRPr="00376454">
        <w:t xml:space="preserve">fus de soins (mission conciliation de la CNAM, </w:t>
      </w:r>
      <w:r w:rsidR="00F15BC1">
        <w:t>D</w:t>
      </w:r>
      <w:r w:rsidRPr="00376454">
        <w:t xml:space="preserve">éfenseur des droits, conseil national de l’ordre des médecins, associations). Surtout, elles ont révélé un manque de coordination entre ces différents acteurs, l’information sur les cas de refus de soins signalés n’étant pas partagée entre les acteurs. Ce manque de coordination aboutit à des actions « en silo » et </w:t>
      </w:r>
      <w:r w:rsidR="00864D7B">
        <w:t>à</w:t>
      </w:r>
      <w:r w:rsidR="00864D7B" w:rsidRPr="00376454">
        <w:t xml:space="preserve"> </w:t>
      </w:r>
      <w:r w:rsidRPr="00376454">
        <w:t>un nombre de sanctions disproportionné par rapport à la réalité éprouvée au quotidien par les personnes en situation de précarité. Ainsi, en 2016, le conseil national de l’ordre des médecins n’a prono</w:t>
      </w:r>
      <w:r w:rsidRPr="00376454">
        <w:t>n</w:t>
      </w:r>
      <w:r w:rsidRPr="00376454">
        <w:t xml:space="preserve">cé qu’une interdiction d’exercice de 1 mois - dont 8 jours fermes - pour refus de soins vis-à-vis d’un bénéficiaire de la CMU-C. </w:t>
      </w:r>
    </w:p>
    <w:p w14:paraId="2AAF23DD" w14:textId="500D834B" w:rsidR="00376454" w:rsidRPr="00376454" w:rsidRDefault="00376454" w:rsidP="001E6E9D">
      <w:pPr>
        <w:pStyle w:val="EncadreCorpsdeTexte"/>
      </w:pPr>
      <w:r w:rsidRPr="00376454">
        <w:t>Proposition n°</w:t>
      </w:r>
      <w:r w:rsidR="00422705">
        <w:t>30</w:t>
      </w:r>
      <w:r w:rsidR="000E4619" w:rsidRPr="00376454">
        <w:t xml:space="preserve"> </w:t>
      </w:r>
      <w:r w:rsidRPr="00376454">
        <w:t xml:space="preserve">– </w:t>
      </w:r>
      <w:r w:rsidR="00864D7B">
        <w:t>R</w:t>
      </w:r>
      <w:r w:rsidR="0052746E">
        <w:t>éunir</w:t>
      </w:r>
      <w:r w:rsidRPr="00376454">
        <w:t xml:space="preserve"> des comités départementaux élargis à l’ensemble des acteurs impliqués dans la lutte contre le refus de soins (CNAM, </w:t>
      </w:r>
      <w:r w:rsidR="00864D7B">
        <w:t>D</w:t>
      </w:r>
      <w:r w:rsidRPr="00376454">
        <w:t>éfenseur des droits, associations, conseils départementaux des ordres) dédiés à l’examen et la résolution des situations de refus de soins.</w:t>
      </w:r>
    </w:p>
    <w:p w14:paraId="1BFF9F51" w14:textId="77777777" w:rsidR="00376454" w:rsidRPr="00376454" w:rsidRDefault="00376454" w:rsidP="00376454">
      <w:pPr>
        <w:pStyle w:val="CorpsdetexteCentre"/>
        <w:jc w:val="left"/>
      </w:pPr>
      <w:r w:rsidRPr="00376454">
        <w:t xml:space="preserve">La mission </w:t>
      </w:r>
      <w:r w:rsidR="00F62B8B">
        <w:t>souligne</w:t>
      </w:r>
      <w:r w:rsidR="00F62B8B" w:rsidRPr="00376454">
        <w:t xml:space="preserve"> </w:t>
      </w:r>
      <w:r w:rsidRPr="00376454">
        <w:t>également</w:t>
      </w:r>
      <w:r w:rsidR="00F62B8B">
        <w:t xml:space="preserve"> l’importance</w:t>
      </w:r>
      <w:r w:rsidRPr="00376454">
        <w:t xml:space="preserve"> de prévenir les refus de soins en réaffirmant les personnes dans leur droit :</w:t>
      </w:r>
    </w:p>
    <w:p w14:paraId="388FAB96" w14:textId="3172A34C" w:rsidR="00376454" w:rsidRPr="00376454" w:rsidRDefault="00376454" w:rsidP="001E6E9D">
      <w:pPr>
        <w:pStyle w:val="Listecontinue"/>
      </w:pPr>
      <w:r w:rsidRPr="00376454">
        <w:t xml:space="preserve">en donnant plus de visibilité à ces droits </w:t>
      </w:r>
      <w:r w:rsidRPr="00376454">
        <w:rPr>
          <w:i/>
        </w:rPr>
        <w:t>via</w:t>
      </w:r>
      <w:r w:rsidRPr="00376454">
        <w:t xml:space="preserve"> la diffusion de flyers d’information sur le refus de soins dans les CPAM (sur le modèle de ceux qui sont produits par le </w:t>
      </w:r>
      <w:r w:rsidR="00864D7B">
        <w:t>D</w:t>
      </w:r>
      <w:r w:rsidRPr="00376454">
        <w:t>éfenseur des droits ou les associations)</w:t>
      </w:r>
      <w:r w:rsidR="00864D7B">
        <w:t> ;</w:t>
      </w:r>
      <w:r w:rsidRPr="00376454">
        <w:t xml:space="preserve"> </w:t>
      </w:r>
    </w:p>
    <w:p w14:paraId="7AB66611" w14:textId="15EF664A" w:rsidR="00376454" w:rsidRPr="00376454" w:rsidRDefault="00DD2EEE" w:rsidP="001E6E9D">
      <w:pPr>
        <w:pStyle w:val="Listecontinue"/>
      </w:pPr>
      <w:r>
        <w:t>en diffusant également des documents d’information aux</w:t>
      </w:r>
      <w:r w:rsidR="00376454" w:rsidRPr="00376454">
        <w:t xml:space="preserve"> médecins pour les réinformer</w:t>
      </w:r>
      <w:r w:rsidR="00864D7B">
        <w:t> ;</w:t>
      </w:r>
    </w:p>
    <w:p w14:paraId="42768C71" w14:textId="1C33E9E5" w:rsidR="00376454" w:rsidRPr="00F16B51" w:rsidRDefault="00376454" w:rsidP="001E6E9D">
      <w:pPr>
        <w:pStyle w:val="Listecontinue"/>
      </w:pPr>
      <w:r w:rsidRPr="00F16B51">
        <w:t xml:space="preserve">et en affichant </w:t>
      </w:r>
      <w:r w:rsidR="00DD2EEE">
        <w:t xml:space="preserve">plus largement </w:t>
      </w:r>
      <w:r w:rsidRPr="00F16B51">
        <w:t>les cas de refus de soins répertoriés (sur l</w:t>
      </w:r>
      <w:r w:rsidR="001E6E9D" w:rsidRPr="00F16B51">
        <w:t>e modèle de</w:t>
      </w:r>
      <w:r w:rsidR="00DD2EEE">
        <w:t xml:space="preserve"> l’observatoire santé sol</w:t>
      </w:r>
      <w:r w:rsidR="00DD2EEE">
        <w:t>i</w:t>
      </w:r>
      <w:r w:rsidR="00DD2EEE">
        <w:t xml:space="preserve">darité diffusé par la </w:t>
      </w:r>
      <w:r w:rsidR="00864D7B">
        <w:t>FAS</w:t>
      </w:r>
      <w:r w:rsidR="00DD2EEE">
        <w:t>)</w:t>
      </w:r>
    </w:p>
    <w:p w14:paraId="58F6A50A" w14:textId="0EA0B4D6" w:rsidR="008E0B06" w:rsidRPr="008E0B06" w:rsidRDefault="00376454" w:rsidP="008E0B06">
      <w:pPr>
        <w:pStyle w:val="Corpsdetexte"/>
      </w:pPr>
      <w:r w:rsidRPr="00376454">
        <w:t>Dans le prolongement des préconisations formulées par le Fonds CMU-C dans son rapport du 30 novembre 2006, la mission propose de mettre en place un suivi par l’assurance maladie des 5% de professionnels recevant le moins de bénéficiaires de la CMU-C, de l’ACS ou de l’AME et de diligenter des actions ciblées des délégués de l’assurance maladie vis-à-vis de ces professionnels.</w:t>
      </w:r>
    </w:p>
    <w:p w14:paraId="0926503F" w14:textId="0BCDA4D9" w:rsidR="008E0B06" w:rsidRPr="008E0B06" w:rsidRDefault="008E0B06" w:rsidP="008E0B06">
      <w:pPr>
        <w:pStyle w:val="EncadreCorpsdeTexte"/>
      </w:pPr>
      <w:r w:rsidRPr="008E0B06">
        <w:t>Proposition n°</w:t>
      </w:r>
      <w:r w:rsidR="00422705">
        <w:t>31</w:t>
      </w:r>
      <w:r w:rsidR="000E4619" w:rsidRPr="008E0B06">
        <w:t xml:space="preserve"> </w:t>
      </w:r>
      <w:r w:rsidRPr="008E0B06">
        <w:t xml:space="preserve">– </w:t>
      </w:r>
      <w:r w:rsidR="00AA3026">
        <w:t>M</w:t>
      </w:r>
      <w:r w:rsidRPr="008E0B06">
        <w:t>ettre en place un suivi par l’assurance maladie des 5% de professionnels recevant le moins de bénéficiaires de la CMU-C, de l’ACS ou de l’AME</w:t>
      </w:r>
      <w:r w:rsidR="00AA3026">
        <w:t>.</w:t>
      </w:r>
    </w:p>
    <w:p w14:paraId="1DE12BAC" w14:textId="77777777" w:rsidR="008E0B06" w:rsidRPr="008E0B06" w:rsidRDefault="008E0B06" w:rsidP="008E0B06">
      <w:pPr>
        <w:pStyle w:val="Corpsdetexte"/>
      </w:pPr>
      <w:r w:rsidRPr="008E0B06">
        <w:t>En juillet 2009, le fonds préconisait également de « Renforcer l’efficacité des dispositifs de lutte contre les refus de soins » en donnant « juridiquement une valeur probante au testing ».</w:t>
      </w:r>
    </w:p>
    <w:p w14:paraId="62553475" w14:textId="1BE9CA38" w:rsidR="008E0B06" w:rsidRPr="008E0B06" w:rsidRDefault="008E0B06" w:rsidP="008E0B06">
      <w:pPr>
        <w:pStyle w:val="Corpsdetexte"/>
      </w:pPr>
      <w:r w:rsidRPr="008E0B06">
        <w:t>Enfin, les propositions qui suivent</w:t>
      </w:r>
      <w:r w:rsidR="00AA3026">
        <w:t>,</w:t>
      </w:r>
      <w:r w:rsidRPr="008E0B06">
        <w:t xml:space="preserve"> relatives à la valorisation du temps et à la complexité de la prise en charge pour les professionnels de santé</w:t>
      </w:r>
      <w:r w:rsidR="00AA3026">
        <w:t>,</w:t>
      </w:r>
      <w:r w:rsidRPr="008E0B06">
        <w:t xml:space="preserve"> peuvent contribuer à la limitation du refus de soins. </w:t>
      </w:r>
    </w:p>
    <w:p w14:paraId="79CA5793" w14:textId="6B39D226" w:rsidR="008E0B06" w:rsidRPr="008E0B06" w:rsidRDefault="008E0B06" w:rsidP="00D948B7">
      <w:pPr>
        <w:pStyle w:val="Corpsdetexte"/>
        <w:ind w:firstLine="284"/>
      </w:pPr>
      <w:r w:rsidRPr="008E0B06">
        <w:lastRenderedPageBreak/>
        <w:t>Les discours des médecins rassemblés par C</w:t>
      </w:r>
      <w:r w:rsidR="00AA3026">
        <w:t>aroline</w:t>
      </w:r>
      <w:r w:rsidRPr="008E0B06">
        <w:t xml:space="preserve"> Desprès lors de ses travaux de recherche réalisés pour le Fonds CMU</w:t>
      </w:r>
      <w:r w:rsidRPr="008E0B06">
        <w:noBreakHyphen/>
        <w:t>C réaffirment en effet l’importance de la valorisation du temps. Les discours mettent en évidence « des manières de soigner plus rentables que d’autres, expliquant la différenciation des soins. Le temps de consultation est par exemple une variable d’ajustement économique, le temps jouant inversement avec la qualité ». Dans ce temps de consultation, le temps non médical est une contrainte, en particulier pour les bénéficiaires de l’AME : temps dédié aux difficultés de communication (interprétariat), temps pour obtenir le remboursement auprès de l’assurance maladie, ce remboursement étant jugé incertain par les médecins auditionnés en l’absence de tél</w:t>
      </w:r>
      <w:r w:rsidRPr="008E0B06">
        <w:t>é</w:t>
      </w:r>
      <w:r w:rsidRPr="008E0B06">
        <w:t>transmission (la carte AME étant une carte papier).</w:t>
      </w:r>
    </w:p>
    <w:p w14:paraId="628E91E5" w14:textId="304960F6" w:rsidR="008E0B06" w:rsidRPr="008E0B06" w:rsidRDefault="008E0B06" w:rsidP="008E0B06">
      <w:pPr>
        <w:pStyle w:val="Corpsdetexte"/>
      </w:pPr>
      <w:r w:rsidRPr="008E0B06">
        <w:t xml:space="preserve">Le titre actuellement diffusé correspond à un format de type carte </w:t>
      </w:r>
      <w:r w:rsidR="00AA3026">
        <w:t>nationale d’identité (</w:t>
      </w:r>
      <w:r w:rsidRPr="008E0B06">
        <w:t>CNI</w:t>
      </w:r>
      <w:r w:rsidR="00AA3026">
        <w:t>)</w:t>
      </w:r>
      <w:r w:rsidRPr="008E0B06">
        <w:rPr>
          <w:vertAlign w:val="superscript"/>
        </w:rPr>
        <w:footnoteReference w:id="64"/>
      </w:r>
      <w:r w:rsidRPr="008E0B06">
        <w:t>. Sa production est décentralisée dans chaque CPAM. La CNAM a élaboré un nouveau projet de titre correspondant à un format carte Vitale, et dont la production serait centralisée</w:t>
      </w:r>
      <w:r w:rsidR="00F15BC1">
        <w:t xml:space="preserve"> dans un pôle unique de fabrication des cartes (Cergy)</w:t>
      </w:r>
      <w:r w:rsidRPr="008E0B06">
        <w:t>. Néanmoins ce nouveau format ne comporte pas de puce et ne permet donc pas une utilis</w:t>
      </w:r>
      <w:r w:rsidRPr="008E0B06">
        <w:t>a</w:t>
      </w:r>
      <w:r w:rsidRPr="008E0B06">
        <w:t xml:space="preserve">tion de la carte identique à celle de la carte </w:t>
      </w:r>
      <w:r w:rsidR="00F15BC1">
        <w:t>V</w:t>
      </w:r>
      <w:r w:rsidRPr="008E0B06">
        <w:t xml:space="preserve">itale, ce qui est source de complications administratives pour les professionnels de santé et contribue aux refus de soins. </w:t>
      </w:r>
    </w:p>
    <w:p w14:paraId="127FE2D3" w14:textId="0FC280D9" w:rsidR="008E0B06" w:rsidRDefault="008E0B06" w:rsidP="008E0B06">
      <w:pPr>
        <w:pStyle w:val="EncadreCorpsdeTexte"/>
      </w:pPr>
      <w:r w:rsidRPr="008E0B06">
        <w:t>Proposition n°</w:t>
      </w:r>
      <w:r w:rsidR="00422705">
        <w:t>32</w:t>
      </w:r>
      <w:r w:rsidR="000E4619" w:rsidRPr="008E0B06">
        <w:t xml:space="preserve"> </w:t>
      </w:r>
      <w:r w:rsidRPr="008E0B06">
        <w:t>- La mission propose ainsi de développer une carte AME numérique, sécurisée et comp</w:t>
      </w:r>
      <w:r w:rsidRPr="008E0B06">
        <w:t>a</w:t>
      </w:r>
      <w:r w:rsidRPr="008E0B06">
        <w:t>tible avec les terminaux de l’</w:t>
      </w:r>
      <w:r w:rsidR="00AA3026">
        <w:t>a</w:t>
      </w:r>
      <w:r w:rsidRPr="008E0B06">
        <w:t xml:space="preserve">ssurance maladie sur le modèle de la carte </w:t>
      </w:r>
      <w:r w:rsidR="00F15BC1">
        <w:t>V</w:t>
      </w:r>
      <w:r w:rsidRPr="008E0B06">
        <w:t xml:space="preserve">itale. </w:t>
      </w:r>
    </w:p>
    <w:p w14:paraId="4F2D69F4" w14:textId="77777777" w:rsidR="008E0B06" w:rsidRPr="008E0B06" w:rsidRDefault="008E0B06" w:rsidP="008E0B06">
      <w:pPr>
        <w:pStyle w:val="Titre2"/>
      </w:pPr>
      <w:bookmarkStart w:id="441" w:name="_Toc518750570"/>
      <w:bookmarkStart w:id="442" w:name="_Toc523327698"/>
      <w:r w:rsidRPr="008E0B06">
        <w:lastRenderedPageBreak/>
        <w:t>Mieux valoriser les spécificités de la prise en charge</w:t>
      </w:r>
      <w:bookmarkEnd w:id="441"/>
      <w:bookmarkEnd w:id="442"/>
    </w:p>
    <w:p w14:paraId="5CF7D0F4" w14:textId="290100E4" w:rsidR="008E0B06" w:rsidRPr="008E0B06" w:rsidRDefault="008E0B06" w:rsidP="008E0B06">
      <w:pPr>
        <w:pStyle w:val="Corpsdetexte"/>
      </w:pPr>
      <w:r w:rsidRPr="008E0B06">
        <w:t>Cette dimension est essentielle. Cette valorisation est à ce jour mieux prise en compte concernant les personnes en exclusion qu</w:t>
      </w:r>
      <w:r w:rsidR="00AA3026">
        <w:t>e les personnes</w:t>
      </w:r>
      <w:r w:rsidR="00FF57A6">
        <w:t xml:space="preserve"> en situation de </w:t>
      </w:r>
      <w:r w:rsidRPr="008E0B06">
        <w:t>handicap</w:t>
      </w:r>
      <w:r w:rsidR="00AA3026">
        <w:t>,</w:t>
      </w:r>
      <w:r w:rsidRPr="008E0B06">
        <w:t xml:space="preserve"> tant pour les prestations de soins de ville qu’en établiss</w:t>
      </w:r>
      <w:r w:rsidRPr="008E0B06">
        <w:t>e</w:t>
      </w:r>
      <w:r w:rsidRPr="008E0B06">
        <w:t>ment. Elle reconnait de fait le temps plus long des consultations ou des actes, la complexité de la coordination avec les autres professionnels sanitaires, la spécificité de certains mat</w:t>
      </w:r>
      <w:r w:rsidR="00720EFD">
        <w:t xml:space="preserve">ériels ou dispositif médicaux. </w:t>
      </w:r>
    </w:p>
    <w:p w14:paraId="2A180A5E" w14:textId="61434C55" w:rsidR="008E0B06" w:rsidRPr="008E0B06" w:rsidRDefault="008E0B06" w:rsidP="008E0B06">
      <w:pPr>
        <w:pStyle w:val="Corpsdetexte"/>
      </w:pPr>
      <w:r w:rsidRPr="00405B88">
        <w:t>L’identification se fait par les personnes relevant de la CMU</w:t>
      </w:r>
      <w:r w:rsidRPr="00405B88">
        <w:noBreakHyphen/>
        <w:t>C pour les personnes en exclusion</w:t>
      </w:r>
      <w:r w:rsidR="00AA3026" w:rsidRPr="00405B88">
        <w:t>, et par les pe</w:t>
      </w:r>
      <w:r w:rsidR="00AA3026" w:rsidRPr="00405B88">
        <w:t>r</w:t>
      </w:r>
      <w:r w:rsidR="00AA3026" w:rsidRPr="00405B88">
        <w:t>sonnes en ALD (à partir de la liste des 30 affections</w:t>
      </w:r>
      <w:r w:rsidR="00FF57A6" w:rsidRPr="00405B88">
        <w:t>)</w:t>
      </w:r>
      <w:r w:rsidRPr="00405B88">
        <w:t xml:space="preserve"> pour les personnes en situation de handicap.</w:t>
      </w:r>
    </w:p>
    <w:p w14:paraId="775276EF" w14:textId="77777777" w:rsidR="008E0B06" w:rsidRPr="008E0B06" w:rsidRDefault="008E0B06" w:rsidP="004C7A56">
      <w:pPr>
        <w:pStyle w:val="Titre3"/>
      </w:pPr>
      <w:bookmarkStart w:id="443" w:name="_Toc518750571"/>
      <w:bookmarkStart w:id="444" w:name="_Toc523327699"/>
      <w:r w:rsidRPr="008E0B06">
        <w:t>Valoriser le temps et la complexité de prise en charge dans les soins de ville</w:t>
      </w:r>
      <w:bookmarkEnd w:id="443"/>
      <w:bookmarkEnd w:id="444"/>
    </w:p>
    <w:p w14:paraId="31A9B745" w14:textId="6DD432B7" w:rsidR="008E0B06" w:rsidRPr="008E0B06" w:rsidRDefault="008E0B06" w:rsidP="008E0B06">
      <w:pPr>
        <w:pStyle w:val="Corpsdetexte"/>
      </w:pPr>
      <w:r w:rsidRPr="008E0B06">
        <w:t>Plusieurs pistes sont précisées qui s’appuient en particulier sur certaines dispositions déjà intégrées dans la de</w:t>
      </w:r>
      <w:r w:rsidRPr="008E0B06">
        <w:t>r</w:t>
      </w:r>
      <w:r w:rsidRPr="008E0B06">
        <w:t>nière convention nationale organisant les rapports entre les médecins libéraux et l’assurance maladie de 2016.</w:t>
      </w:r>
    </w:p>
    <w:p w14:paraId="56E8A310" w14:textId="6641359F" w:rsidR="008E0B06" w:rsidRPr="008E0B06" w:rsidRDefault="008E0B06" w:rsidP="008E0B06">
      <w:pPr>
        <w:pStyle w:val="Corpsdetexte"/>
      </w:pPr>
      <w:r w:rsidRPr="008E0B06">
        <w:t xml:space="preserve">Pour les actes : valorisation </w:t>
      </w:r>
      <w:r w:rsidR="002E229B">
        <w:t xml:space="preserve">spécifique </w:t>
      </w:r>
      <w:r w:rsidRPr="008E0B06">
        <w:t xml:space="preserve">des actes à l’instar de la convention avec les </w:t>
      </w:r>
      <w:r w:rsidR="00AA3026">
        <w:t>c</w:t>
      </w:r>
      <w:r w:rsidRPr="008E0B06">
        <w:t>hirurgiens-dentistes qui pou</w:t>
      </w:r>
      <w:r w:rsidRPr="008E0B06">
        <w:t>r</w:t>
      </w:r>
      <w:r w:rsidRPr="008E0B06">
        <w:t>rait être étendue dans le même esprit sur le même modèle aux spécialités clefs dans la prévention </w:t>
      </w:r>
      <w:r w:rsidR="00AA3026">
        <w:t>(g</w:t>
      </w:r>
      <w:r w:rsidRPr="008E0B06">
        <w:t>ynécolog</w:t>
      </w:r>
      <w:r w:rsidR="00AA3026">
        <w:t>i</w:t>
      </w:r>
      <w:r w:rsidRPr="008E0B06">
        <w:t>e, ophtalmologi</w:t>
      </w:r>
      <w:r w:rsidR="00AA3026">
        <w:t>e</w:t>
      </w:r>
      <w:r w:rsidRPr="008E0B06">
        <w:t>, médecine interne</w:t>
      </w:r>
      <w:r w:rsidR="00E95A5A">
        <w:t>, etc.</w:t>
      </w:r>
      <w:r w:rsidR="00AA3026">
        <w:t>)</w:t>
      </w:r>
      <w:r w:rsidR="00E00EF6">
        <w:t>.</w:t>
      </w:r>
      <w:r w:rsidRPr="008E0B06">
        <w:t xml:space="preserve"> </w:t>
      </w:r>
    </w:p>
    <w:p w14:paraId="35C48437" w14:textId="58E63826" w:rsidR="008E0B06" w:rsidRPr="00405B88" w:rsidRDefault="00A91DEF" w:rsidP="008E0B06">
      <w:pPr>
        <w:pStyle w:val="Corpsdetexte"/>
      </w:pPr>
      <w:r w:rsidRPr="00405B88">
        <w:t>Pour les consultations : s’engager dans la valorisation à travers les différents modes de financement retenus dans le cadre de la convention médicale</w:t>
      </w:r>
      <w:r w:rsidR="00FF57A6" w:rsidRPr="00405B88">
        <w:t xml:space="preserve"> des médecins libéraux</w:t>
      </w:r>
      <w:r w:rsidRPr="00405B88">
        <w:t xml:space="preserve">. </w:t>
      </w:r>
      <w:r w:rsidR="002E229B" w:rsidRPr="00405B88">
        <w:t>Il s’agit :</w:t>
      </w:r>
    </w:p>
    <w:p w14:paraId="1BE60BDB" w14:textId="7AAF194A" w:rsidR="00E00EF6" w:rsidRPr="00405B88" w:rsidRDefault="002E229B" w:rsidP="002E229B">
      <w:pPr>
        <w:pStyle w:val="Listecontinue"/>
      </w:pPr>
      <w:r w:rsidRPr="00405B88">
        <w:t>de</w:t>
      </w:r>
      <w:r w:rsidR="008E0B06" w:rsidRPr="00405B88">
        <w:t xml:space="preserve">  la consultation très complexe</w:t>
      </w:r>
      <w:r w:rsidR="00E00EF6" w:rsidRPr="00405B88">
        <w:t xml:space="preserve"> </w:t>
      </w:r>
      <w:r w:rsidR="003E1016" w:rsidRPr="00405B88">
        <w:t xml:space="preserve">(prévue à l’article 28-4 de la nouvelle convention médicale) </w:t>
      </w:r>
      <w:r w:rsidR="00E00EF6" w:rsidRPr="00405B88">
        <w:t>à appliquer</w:t>
      </w:r>
      <w:r w:rsidR="008E0B06" w:rsidRPr="00405B88">
        <w:t xml:space="preserve"> pour les personnes </w:t>
      </w:r>
      <w:r w:rsidR="003E1016" w:rsidRPr="00405B88">
        <w:t xml:space="preserve">en situation de </w:t>
      </w:r>
      <w:r w:rsidR="008E0B06" w:rsidRPr="00405B88">
        <w:t xml:space="preserve">handicap </w:t>
      </w:r>
      <w:r w:rsidR="00E00EF6" w:rsidRPr="00405B88">
        <w:t>ainsi qu’aux</w:t>
      </w:r>
      <w:r w:rsidR="008E0B06" w:rsidRPr="00405B88">
        <w:t xml:space="preserve"> personnes</w:t>
      </w:r>
      <w:r w:rsidR="00E00EF6" w:rsidRPr="00405B88">
        <w:t xml:space="preserve"> bénéficiaires de la</w:t>
      </w:r>
      <w:r w:rsidR="008E0B06" w:rsidRPr="00405B88">
        <w:t xml:space="preserve"> CMU-C</w:t>
      </w:r>
      <w:r w:rsidR="00E00EF6" w:rsidRPr="00405B88">
        <w:t> ;</w:t>
      </w:r>
    </w:p>
    <w:p w14:paraId="5A10DF34" w14:textId="6E96256C" w:rsidR="008E0B06" w:rsidRPr="00405B88" w:rsidRDefault="002E229B" w:rsidP="002E229B">
      <w:pPr>
        <w:pStyle w:val="Listecontinue"/>
      </w:pPr>
      <w:r w:rsidRPr="00405B88">
        <w:t>d</w:t>
      </w:r>
      <w:r w:rsidR="008E3C3D" w:rsidRPr="00405B88">
        <w:t>e la majoration d</w:t>
      </w:r>
      <w:r w:rsidRPr="00405B88">
        <w:t xml:space="preserve">u </w:t>
      </w:r>
      <w:r w:rsidR="008E0B06" w:rsidRPr="00405B88">
        <w:t>Forfait patientèle médecin Traitant (</w:t>
      </w:r>
      <w:r w:rsidR="008E3C3D" w:rsidRPr="00405B88">
        <w:t>FMT</w:t>
      </w:r>
      <w:r w:rsidR="008E0B06" w:rsidRPr="00405B88">
        <w:t>) au titre</w:t>
      </w:r>
      <w:r w:rsidR="00AA3026" w:rsidRPr="00405B88">
        <w:t xml:space="preserve"> des patients bénéficiaires de la</w:t>
      </w:r>
      <w:r w:rsidR="008E0B06" w:rsidRPr="00405B88">
        <w:t xml:space="preserve"> CMU-C</w:t>
      </w:r>
      <w:r w:rsidR="008E3C3D" w:rsidRPr="00405B88">
        <w:t>, à appliquer aux personnes en situation de handicap</w:t>
      </w:r>
      <w:r w:rsidR="00AA3026" w:rsidRPr="00405B88">
        <w:t> ;</w:t>
      </w:r>
    </w:p>
    <w:p w14:paraId="544FB990" w14:textId="10E8C5D1" w:rsidR="008E0B06" w:rsidRPr="00405B88" w:rsidRDefault="002E229B" w:rsidP="00F43D59">
      <w:pPr>
        <w:pStyle w:val="Listecontinue"/>
      </w:pPr>
      <w:r w:rsidRPr="00405B88">
        <w:t>de la</w:t>
      </w:r>
      <w:r w:rsidR="008E0B06" w:rsidRPr="00405B88">
        <w:t xml:space="preserve"> rémunération sur objectifs de santé publique</w:t>
      </w:r>
      <w:r w:rsidR="00993B79" w:rsidRPr="00405B88">
        <w:t xml:space="preserve"> (ROSP)</w:t>
      </w:r>
      <w:r w:rsidR="008E0B06" w:rsidRPr="00405B88">
        <w:t xml:space="preserve"> concernant les actions de préventions des CMU</w:t>
      </w:r>
      <w:r w:rsidR="00AA3026" w:rsidRPr="00405B88">
        <w:t>-</w:t>
      </w:r>
      <w:r w:rsidR="008E0B06" w:rsidRPr="00405B88">
        <w:t xml:space="preserve">C, et ALD pour les </w:t>
      </w:r>
      <w:r w:rsidR="00AA3026" w:rsidRPr="00405B88">
        <w:t xml:space="preserve">personnes </w:t>
      </w:r>
      <w:r w:rsidR="008E3C3D" w:rsidRPr="00405B88">
        <w:t xml:space="preserve">en situation de </w:t>
      </w:r>
      <w:r w:rsidR="00AA3026" w:rsidRPr="00405B88">
        <w:t>handicap ;</w:t>
      </w:r>
    </w:p>
    <w:p w14:paraId="118EA3D4" w14:textId="0C7AB3B7" w:rsidR="00F43D59" w:rsidRPr="00405B88" w:rsidRDefault="002E229B" w:rsidP="00F43D59">
      <w:pPr>
        <w:pStyle w:val="Listecontinue"/>
      </w:pPr>
      <w:r w:rsidRPr="00405B88">
        <w:t xml:space="preserve">et du </w:t>
      </w:r>
      <w:r w:rsidR="008E0B06" w:rsidRPr="00405B88">
        <w:t xml:space="preserve">forfait structure en créant un indicateur </w:t>
      </w:r>
      <w:r w:rsidR="00E00EF6" w:rsidRPr="00405B88">
        <w:t xml:space="preserve">sur </w:t>
      </w:r>
      <w:r w:rsidR="008E0B06" w:rsidRPr="00405B88">
        <w:t xml:space="preserve">les investissements de </w:t>
      </w:r>
      <w:r w:rsidR="00E00EF6" w:rsidRPr="00405B88">
        <w:t xml:space="preserve">matériel </w:t>
      </w:r>
      <w:r w:rsidR="008E0B06" w:rsidRPr="00405B88">
        <w:t>adapté pour le</w:t>
      </w:r>
      <w:r w:rsidR="00AA3026" w:rsidRPr="00405B88">
        <w:t xml:space="preserve"> handicap</w:t>
      </w:r>
      <w:r w:rsidR="008E0B06" w:rsidRPr="00405B88">
        <w:t xml:space="preserve"> </w:t>
      </w:r>
      <w:r w:rsidR="00A91DEF" w:rsidRPr="00405B88">
        <w:t>(</w:t>
      </w:r>
      <w:r w:rsidR="00AA3026" w:rsidRPr="00405B88">
        <w:t>par exemple,</w:t>
      </w:r>
      <w:r w:rsidR="008E0B06" w:rsidRPr="00405B88">
        <w:t xml:space="preserve"> table d’examen </w:t>
      </w:r>
      <w:r w:rsidR="00AA3026" w:rsidRPr="00405B88">
        <w:t xml:space="preserve">à </w:t>
      </w:r>
      <w:r w:rsidR="008E0B06" w:rsidRPr="00405B88">
        <w:t xml:space="preserve">hauteur variable si </w:t>
      </w:r>
      <w:r w:rsidR="00AA3026" w:rsidRPr="00405B88">
        <w:t xml:space="preserve">le </w:t>
      </w:r>
      <w:r w:rsidR="008E0B06" w:rsidRPr="00405B88">
        <w:t xml:space="preserve">cabinet </w:t>
      </w:r>
      <w:r w:rsidR="00AA3026" w:rsidRPr="00405B88">
        <w:t xml:space="preserve">est </w:t>
      </w:r>
      <w:r w:rsidR="008E0B06" w:rsidRPr="00405B88">
        <w:t>accessible)</w:t>
      </w:r>
      <w:r w:rsidR="00AA3026" w:rsidRPr="00405B88">
        <w:t>.</w:t>
      </w:r>
    </w:p>
    <w:p w14:paraId="45B74199" w14:textId="5A4D30FF" w:rsidR="0063115C" w:rsidRPr="008215CC" w:rsidRDefault="0063115C" w:rsidP="0063115C">
      <w:pPr>
        <w:pStyle w:val="EncadreCorpsdeTexte"/>
      </w:pPr>
      <w:r w:rsidRPr="00435F95">
        <w:t xml:space="preserve">Proposition </w:t>
      </w:r>
      <w:r w:rsidR="000E4619">
        <w:t>n°3</w:t>
      </w:r>
      <w:r w:rsidR="00422705">
        <w:t>3</w:t>
      </w:r>
      <w:r w:rsidR="000E4619" w:rsidRPr="00435F95">
        <w:t> </w:t>
      </w:r>
      <w:r w:rsidRPr="00435F95">
        <w:t xml:space="preserve">: </w:t>
      </w:r>
      <w:r w:rsidR="002E229B">
        <w:t xml:space="preserve">Reconnaitre des majorations </w:t>
      </w:r>
      <w:r w:rsidR="00A945CD">
        <w:t xml:space="preserve">de rémunération </w:t>
      </w:r>
      <w:r w:rsidR="002E229B">
        <w:t>pour</w:t>
      </w:r>
      <w:r w:rsidR="00A945CD">
        <w:t xml:space="preserve"> la prise en charge d</w:t>
      </w:r>
      <w:r w:rsidR="002E229B">
        <w:t>es per</w:t>
      </w:r>
      <w:r w:rsidR="00435F95">
        <w:t>s</w:t>
      </w:r>
      <w:r w:rsidR="002E229B">
        <w:t>onnes</w:t>
      </w:r>
      <w:r w:rsidR="00116215">
        <w:t xml:space="preserve"> en situation de</w:t>
      </w:r>
      <w:r w:rsidR="002E229B">
        <w:t xml:space="preserve"> handicap</w:t>
      </w:r>
      <w:r w:rsidR="003501FA">
        <w:t xml:space="preserve"> </w:t>
      </w:r>
      <w:r w:rsidR="002E229B">
        <w:t>(en ALD et reconnaissance MDPH par exemple)</w:t>
      </w:r>
      <w:r w:rsidR="00435F95">
        <w:t xml:space="preserve"> (voir annexe </w:t>
      </w:r>
      <w:r w:rsidR="00B9039D">
        <w:t>15</w:t>
      </w:r>
      <w:r w:rsidR="004C7A56">
        <w:t>)</w:t>
      </w:r>
      <w:r w:rsidR="00BF0AFA">
        <w:t>.</w:t>
      </w:r>
    </w:p>
    <w:p w14:paraId="282FBFAD" w14:textId="77777777" w:rsidR="00F43D59" w:rsidRPr="00F43D59" w:rsidRDefault="00F43D59" w:rsidP="004C7A56">
      <w:pPr>
        <w:pStyle w:val="Titre3"/>
      </w:pPr>
      <w:bookmarkStart w:id="445" w:name="_Toc518750572"/>
      <w:bookmarkStart w:id="446" w:name="_Toc523327700"/>
      <w:r w:rsidRPr="00F43D59">
        <w:t>Valoriser le temps et la complexité de prise en charge dans les structures s</w:t>
      </w:r>
      <w:r w:rsidRPr="00F43D59">
        <w:t>a</w:t>
      </w:r>
      <w:r w:rsidRPr="00F43D59">
        <w:t>nitaires</w:t>
      </w:r>
      <w:bookmarkEnd w:id="445"/>
      <w:bookmarkEnd w:id="446"/>
    </w:p>
    <w:p w14:paraId="4AD92A83" w14:textId="31FF618F" w:rsidR="00F7630E" w:rsidRDefault="00F43D59" w:rsidP="00D948B7">
      <w:pPr>
        <w:pStyle w:val="Corpsdetexte"/>
        <w:ind w:firstLine="284"/>
      </w:pPr>
      <w:r w:rsidRPr="00F43D59">
        <w:t>Comme les professionnels libéraux, une valorisation pour les établissements sanitaires (</w:t>
      </w:r>
      <w:r w:rsidR="00BF0AFA">
        <w:t xml:space="preserve">médecine, chirurgie, obsétrique - </w:t>
      </w:r>
      <w:r w:rsidRPr="00F43D59">
        <w:t>MCO</w:t>
      </w:r>
      <w:r w:rsidR="00BF0AFA">
        <w:t xml:space="preserve"> -</w:t>
      </w:r>
      <w:r w:rsidRPr="00F43D59">
        <w:t xml:space="preserve">, </w:t>
      </w:r>
      <w:r w:rsidR="00BF0AFA">
        <w:t xml:space="preserve">hospitalisation à domicile - </w:t>
      </w:r>
      <w:r w:rsidRPr="00F43D59">
        <w:t>HAD</w:t>
      </w:r>
      <w:r w:rsidR="00BF0AFA">
        <w:t xml:space="preserve"> -</w:t>
      </w:r>
      <w:r w:rsidRPr="00F43D59">
        <w:t>) est nécessaire pour assurer l’accès aux soins dans ces stru</w:t>
      </w:r>
      <w:r w:rsidRPr="00F43D59">
        <w:t>c</w:t>
      </w:r>
      <w:r w:rsidRPr="00F43D59">
        <w:t>tures et prendre en compte les spécificités (accompagnement humain, environnement adapté</w:t>
      </w:r>
      <w:r w:rsidR="00E95A5A">
        <w:t>, etc.</w:t>
      </w:r>
      <w:r w:rsidRPr="00F43D59">
        <w:t xml:space="preserve">) et pour maintenir en particulier l’autonomie des personnes en situation de handicap ou de précarité pendant leur parcours de soins durant leur hospitalisation. </w:t>
      </w:r>
    </w:p>
    <w:p w14:paraId="4C6D800F" w14:textId="3471F749" w:rsidR="00377C51" w:rsidRDefault="00377C51" w:rsidP="00377C51">
      <w:pPr>
        <w:pStyle w:val="Corpsdetexte"/>
      </w:pPr>
      <w:r>
        <w:t>Aucune valorisation du temps et de la complexité de prise en charge n’existe pour les personnes</w:t>
      </w:r>
      <w:r w:rsidR="00116215">
        <w:t xml:space="preserve"> en situation de</w:t>
      </w:r>
      <w:r>
        <w:t xml:space="preserve"> handicap.</w:t>
      </w:r>
    </w:p>
    <w:p w14:paraId="3553FE45" w14:textId="12FE7E34" w:rsidR="00F43D59" w:rsidRPr="00F43D59" w:rsidRDefault="00F43D59" w:rsidP="00D948B7">
      <w:pPr>
        <w:pStyle w:val="Corpsdetexte"/>
        <w:ind w:firstLine="284"/>
      </w:pPr>
      <w:r w:rsidRPr="00F43D59">
        <w:t xml:space="preserve">La valorisation du temps et de la complexité de la prise en charge des personnes en situation de précarité à l’hôpital repose aujourd’hui sur deux types de financements forfaitaires : les </w:t>
      </w:r>
      <w:r w:rsidR="00BF0AFA">
        <w:t>missions d’intérêt général (</w:t>
      </w:r>
      <w:r w:rsidRPr="00F43D59">
        <w:t>MIG</w:t>
      </w:r>
      <w:r w:rsidR="00BF0AFA">
        <w:t>)</w:t>
      </w:r>
      <w:r w:rsidR="008215CC">
        <w:t xml:space="preserve"> pr</w:t>
      </w:r>
      <w:r w:rsidR="008215CC">
        <w:t>é</w:t>
      </w:r>
      <w:r w:rsidR="008215CC">
        <w:t>carité et les « MIG PASS ».</w:t>
      </w:r>
      <w:r w:rsidR="004C7A56">
        <w:t xml:space="preserve"> </w:t>
      </w:r>
      <w:r w:rsidR="009C6664">
        <w:t xml:space="preserve">Il n’y a aucune valorisation pour les </w:t>
      </w:r>
      <w:r w:rsidR="00BF0AFA">
        <w:t xml:space="preserve">personnes </w:t>
      </w:r>
      <w:r w:rsidR="001452B0">
        <w:t xml:space="preserve">en situation de </w:t>
      </w:r>
      <w:r w:rsidR="00BF0AFA">
        <w:t>handicap</w:t>
      </w:r>
      <w:r w:rsidR="009C6664">
        <w:t>.</w:t>
      </w:r>
    </w:p>
    <w:p w14:paraId="724E6871" w14:textId="4095B89B" w:rsidR="00F43D59" w:rsidRPr="00F43D59" w:rsidRDefault="00F43D59" w:rsidP="00D948B7">
      <w:pPr>
        <w:pStyle w:val="Corpsdetexte"/>
        <w:ind w:firstLine="284"/>
      </w:pPr>
      <w:r w:rsidRPr="00F43D59">
        <w:lastRenderedPageBreak/>
        <w:t xml:space="preserve">Le budget d’une </w:t>
      </w:r>
      <w:r w:rsidR="00BF0AFA" w:rsidRPr="00F43D59">
        <w:t>P</w:t>
      </w:r>
      <w:r w:rsidR="00BF0AFA">
        <w:t>ASS</w:t>
      </w:r>
      <w:r w:rsidR="00BF0AFA" w:rsidRPr="00F43D59">
        <w:t xml:space="preserve"> </w:t>
      </w:r>
      <w:r w:rsidRPr="00F43D59">
        <w:t xml:space="preserve">est couvert par une dotation finançant les MIG, sur déclaration de l’établissement de santé. Il intègre l’ensemble des frais liés à l’activité de la structure : c’est-à-dire ceux de personnel, de facilitation d’accès aux soins, de prise en charge et d’accompagnement, hors hospitalisation et consultation facturable ; les dépenses pharmaceutiques, d’examens médicaux ; les coûts d’interprétariat, et de transport en cas de </w:t>
      </w:r>
      <w:r w:rsidR="00BF0AFA" w:rsidRPr="00F43D59">
        <w:t>P</w:t>
      </w:r>
      <w:r w:rsidR="00BF0AFA">
        <w:t>ASS</w:t>
      </w:r>
      <w:r w:rsidR="00BF0AFA" w:rsidRPr="00F43D59">
        <w:t xml:space="preserve"> </w:t>
      </w:r>
      <w:r w:rsidRPr="00F43D59">
        <w:t>m</w:t>
      </w:r>
      <w:r w:rsidRPr="00F43D59">
        <w:t>o</w:t>
      </w:r>
      <w:r w:rsidRPr="00F43D59">
        <w:t>bile, ainsi que ceux de pilotage, de coordination et d’évaluation de la perm</w:t>
      </w:r>
      <w:r w:rsidRPr="00F43D59">
        <w:t>a</w:t>
      </w:r>
      <w:r w:rsidRPr="00F43D59">
        <w:t xml:space="preserve">nence. </w:t>
      </w:r>
    </w:p>
    <w:p w14:paraId="4509ACEA" w14:textId="4AD7F0B8" w:rsidR="00F43D59" w:rsidRPr="00F43D59" w:rsidRDefault="00F43D59" w:rsidP="00D948B7">
      <w:pPr>
        <w:pStyle w:val="Corpsdetexte"/>
      </w:pPr>
      <w:r w:rsidRPr="00F43D59">
        <w:t xml:space="preserve">Pour une </w:t>
      </w:r>
      <w:r w:rsidR="00BF0AFA" w:rsidRPr="00F43D59">
        <w:t>P</w:t>
      </w:r>
      <w:r w:rsidR="00BF0AFA">
        <w:t>ASS</w:t>
      </w:r>
      <w:r w:rsidR="00BF0AFA" w:rsidRPr="00F43D59">
        <w:t xml:space="preserve"> </w:t>
      </w:r>
      <w:r w:rsidRPr="00F43D59">
        <w:t>généraliste recevant au moins une fois par an 100 patients, la circulaire du 18 juin 2013 évalue le budget minimal requis à 50 000 euros ; et ce, quelle que soit la prise en charge effectuée. Si la structure reçoit 1 000 patients par an, la dotation annuelle</w:t>
      </w:r>
      <w:r w:rsidR="008215CC">
        <w:t xml:space="preserve"> peut atteindre 450 000 euros. </w:t>
      </w:r>
    </w:p>
    <w:p w14:paraId="1F3B5C36" w14:textId="3163A4B6" w:rsidR="00F43D59" w:rsidRPr="00F43D59" w:rsidRDefault="00F43D59" w:rsidP="00D948B7">
      <w:pPr>
        <w:pStyle w:val="Corpsdetexte"/>
        <w:ind w:firstLine="284"/>
      </w:pPr>
      <w:r w:rsidRPr="00F43D59">
        <w:t xml:space="preserve">Par ailleurs, une </w:t>
      </w:r>
      <w:r w:rsidR="00BF0AFA">
        <w:t xml:space="preserve">MIG </w:t>
      </w:r>
      <w:r w:rsidRPr="00F43D59">
        <w:t xml:space="preserve">intitulée « les dépenses spécifiques liées à la prise en charge des patients en situation de précarité » (dite « MIG précarité ») permet de financer le surcoût lié à la prise en charge des patients en situation de précarité pour l’ensemble de l’établissement (temps d’assistantes sociales pour l’accompagnement social et l’ouverture des droits, besoins en interprétariat, </w:t>
      </w:r>
      <w:r w:rsidR="00A91DEF" w:rsidRPr="00F43D59">
        <w:t>etc.</w:t>
      </w:r>
      <w:r w:rsidRPr="00F43D59">
        <w:t xml:space="preserve">). D’un montant de 190,5 </w:t>
      </w:r>
      <w:r w:rsidR="009C3ADC">
        <w:t>millions d’euros</w:t>
      </w:r>
      <w:r w:rsidRPr="00F43D59">
        <w:t xml:space="preserve"> en 2018, ce fina</w:t>
      </w:r>
      <w:r w:rsidRPr="00F43D59">
        <w:t>n</w:t>
      </w:r>
      <w:r w:rsidRPr="00F43D59">
        <w:t>cement est réparti entre les hôpitaux au</w:t>
      </w:r>
      <w:r w:rsidRPr="00EA1EEF">
        <w:rPr>
          <w:i/>
        </w:rPr>
        <w:t xml:space="preserve"> prorata</w:t>
      </w:r>
      <w:r w:rsidRPr="00F43D59">
        <w:t xml:space="preserve"> du nombre de séjours de patients démunis pris en charge par l’établissement. Elle est activée dès lors que l’établissement a plus de 13% de séjours précaires ou prend en charge </w:t>
      </w:r>
      <w:r w:rsidR="008215CC">
        <w:t>plus de 7</w:t>
      </w:r>
      <w:r w:rsidR="00E65AE7">
        <w:t xml:space="preserve"> </w:t>
      </w:r>
      <w:r w:rsidR="008215CC">
        <w:t xml:space="preserve">000 séjours par an.   </w:t>
      </w:r>
    </w:p>
    <w:p w14:paraId="434D36DE" w14:textId="20DF6D7B" w:rsidR="00F43D59" w:rsidRPr="00F43D59" w:rsidRDefault="00F43D59" w:rsidP="00D948B7">
      <w:pPr>
        <w:pStyle w:val="Corpsdetexte"/>
        <w:ind w:firstLine="284"/>
      </w:pPr>
      <w:r w:rsidRPr="00F43D59">
        <w:t>Le nombre de séjours de patients démunis est déterminé à partir de l’information du type de couverture mal</w:t>
      </w:r>
      <w:r w:rsidRPr="00F43D59">
        <w:t>a</w:t>
      </w:r>
      <w:r w:rsidRPr="00F43D59">
        <w:t>die des personnes transmise par la CNAM (bénéfice de la CMU-C, de l’ACS, de l’AME,</w:t>
      </w:r>
      <w:r w:rsidR="00BF0AFA">
        <w:t xml:space="preserve"> etc.</w:t>
      </w:r>
      <w:r w:rsidRPr="00F43D59">
        <w:t xml:space="preserve">), l’hypothèse sous-jacente étant que les séjours de ces personnes constituent une bonne approximation de la charge d’activité de l’établissement consacrée à la prise en charge des patients </w:t>
      </w:r>
      <w:r w:rsidR="008215CC">
        <w:t xml:space="preserve">en situation de précarité. </w:t>
      </w:r>
    </w:p>
    <w:p w14:paraId="043EC5C8" w14:textId="3677C161" w:rsidR="00F43D59" w:rsidRPr="00F43D59" w:rsidRDefault="00F43D59" w:rsidP="00D948B7">
      <w:pPr>
        <w:pStyle w:val="Corpsdetexte"/>
        <w:ind w:firstLine="284"/>
      </w:pPr>
      <w:r w:rsidRPr="00F43D59">
        <w:t>Dans un contexte où le non</w:t>
      </w:r>
      <w:r w:rsidR="00BF0AFA">
        <w:t xml:space="preserve"> </w:t>
      </w:r>
      <w:r w:rsidRPr="00F43D59">
        <w:t>recours au droit à une couverture santé est massif pour les personnes en situation de précarité (</w:t>
      </w:r>
      <w:r w:rsidRPr="0057371A">
        <w:rPr>
          <w:i/>
        </w:rPr>
        <w:t>cf.</w:t>
      </w:r>
      <w:r w:rsidRPr="00F43D59">
        <w:t xml:space="preserve"> partie constat et partie accès aux droits), un tel mode de financement ne rend pas compte de l’activité réelle des établissements consacrée à la prise en charge des personnes en situation de précarité. Ce point est mis en exergue par Olivier Véran dans son récent rapport sur « l’évolution des modes de financement des ét</w:t>
      </w:r>
      <w:r w:rsidRPr="00F43D59">
        <w:t>a</w:t>
      </w:r>
      <w:r w:rsidRPr="00F43D59">
        <w:t xml:space="preserve">blissements de santé ».  </w:t>
      </w:r>
    </w:p>
    <w:p w14:paraId="7736490B" w14:textId="2B427AD5" w:rsidR="00F43D59" w:rsidRPr="00F43D59" w:rsidRDefault="00F43D59" w:rsidP="00D948B7">
      <w:pPr>
        <w:pStyle w:val="Corpsdetexte"/>
        <w:ind w:firstLine="284"/>
      </w:pPr>
      <w:r w:rsidRPr="00F43D59">
        <w:t xml:space="preserve">Par ailleurs, le nombre de séjours à l’hôpital ne reflète ni le temps consacré à l’accompagnement social, ni les prises en charge sanitaires sans séjours. Enfin, le déclenchement des </w:t>
      </w:r>
      <w:r w:rsidR="00BF0AFA">
        <w:t>m</w:t>
      </w:r>
      <w:r w:rsidR="00BF0AFA" w:rsidRPr="00BF0AFA">
        <w:t>issions d'intérêt général et d</w:t>
      </w:r>
      <w:r w:rsidR="00FE62BE">
        <w:t>’</w:t>
      </w:r>
      <w:r w:rsidR="00BF0AFA" w:rsidRPr="00BF0AFA">
        <w:t>aide à la co</w:t>
      </w:r>
      <w:r w:rsidR="00BF0AFA" w:rsidRPr="00BF0AFA">
        <w:t>n</w:t>
      </w:r>
      <w:r w:rsidR="00BF0AFA" w:rsidRPr="00BF0AFA">
        <w:t xml:space="preserve">tractualisation </w:t>
      </w:r>
      <w:r w:rsidR="00BF0AFA">
        <w:t>(</w:t>
      </w:r>
      <w:r w:rsidRPr="00F43D59">
        <w:t>MIGAC</w:t>
      </w:r>
      <w:r w:rsidR="00BF0AFA">
        <w:t>)</w:t>
      </w:r>
      <w:r w:rsidRPr="00F43D59">
        <w:t xml:space="preserve"> à compter d’un taux de séjours de 13% (ou d’un nombre de séjours de 7</w:t>
      </w:r>
      <w:r w:rsidR="00E65AE7">
        <w:t xml:space="preserve"> </w:t>
      </w:r>
      <w:r w:rsidRPr="00F43D59">
        <w:t xml:space="preserve">000 par an) constitue un effet de seuil qui est susceptible de peser sur la capacité des établissements concernés (sous le seuil) à prendre en charge des personnes en situation de précarité. </w:t>
      </w:r>
    </w:p>
    <w:p w14:paraId="789D1E75" w14:textId="77777777" w:rsidR="00F43D59" w:rsidRPr="00F43D59" w:rsidRDefault="00F43D59" w:rsidP="00D948B7">
      <w:pPr>
        <w:pStyle w:val="Corpsdetexte"/>
        <w:ind w:firstLine="284"/>
      </w:pPr>
      <w:r w:rsidRPr="00F43D59">
        <w:t>Sans préjuger des conclusions qui seront rendues sur ce point fin 2018 par la mission dédiée à la réforme du f</w:t>
      </w:r>
      <w:r w:rsidRPr="00F43D59">
        <w:t>i</w:t>
      </w:r>
      <w:r w:rsidRPr="00F43D59">
        <w:t>nancement du système de santé, confiée au directeur de la DREES par la Ministre des solidarités et de la santé,</w:t>
      </w:r>
      <w:r w:rsidR="008215CC">
        <w:t xml:space="preserve"> les rapporteurs préconisent : </w:t>
      </w:r>
    </w:p>
    <w:p w14:paraId="3EA66B43" w14:textId="306F19FE" w:rsidR="00F43D59" w:rsidRPr="00F43D59" w:rsidRDefault="00F43D59" w:rsidP="008215CC">
      <w:pPr>
        <w:pStyle w:val="Listecontinue"/>
      </w:pPr>
      <w:r w:rsidRPr="00F43D59">
        <w:t>la mise en place d’indicateurs simples (sur le modèle de ceux existants), mais construits à partir du nombre exhaustif de patients en situation de précarité accueillis par les établissements, intégrant les patients qui n’ont pas de droits ouverts à une couverture santé</w:t>
      </w:r>
      <w:r w:rsidR="00BF0AFA">
        <w:t> ;</w:t>
      </w:r>
    </w:p>
    <w:p w14:paraId="116DAD74" w14:textId="4FAC0732" w:rsidR="00F43D59" w:rsidRDefault="00F43D59" w:rsidP="00F43D59">
      <w:pPr>
        <w:pStyle w:val="Listecontinue"/>
      </w:pPr>
      <w:r w:rsidRPr="00F43D59">
        <w:t>prévoir des financements de même type, pour les personnes en situation de handicap avec des indicateurs / traceurs simples, par exemple le traceur du bénéfice d’une ALD qui permet de repérer le handicap</w:t>
      </w:r>
      <w:r w:rsidR="00BF0AFA">
        <w:t> ;</w:t>
      </w:r>
      <w:r w:rsidRPr="00F43D59">
        <w:t xml:space="preserve"> </w:t>
      </w:r>
      <w:r w:rsidR="00BF0AFA">
        <w:t>c</w:t>
      </w:r>
      <w:r w:rsidRPr="00F43D59">
        <w:t>es fina</w:t>
      </w:r>
      <w:r w:rsidRPr="00F43D59">
        <w:t>n</w:t>
      </w:r>
      <w:r w:rsidRPr="00F43D59">
        <w:t>cements doivent être pérennes et forfaitaires, type « MIG handicap », et intégrés dans l’adaptation du financement de la T2A</w:t>
      </w:r>
      <w:r w:rsidR="00BF0AFA">
        <w:t> ;</w:t>
      </w:r>
    </w:p>
    <w:p w14:paraId="3CB97692" w14:textId="7F64D529" w:rsidR="009C6664" w:rsidRPr="00F43D59" w:rsidRDefault="00BF0AFA" w:rsidP="009C6664">
      <w:pPr>
        <w:pStyle w:val="Listecontinue"/>
      </w:pPr>
      <w:r>
        <w:t>l</w:t>
      </w:r>
      <w:r w:rsidR="009C6664" w:rsidRPr="00F43D59">
        <w:t>’application et la généralisation de la circulaire frontière sur l’hôpital de jour est indispensable.</w:t>
      </w:r>
      <w:r>
        <w:t> </w:t>
      </w:r>
      <w:r w:rsidR="00F83EC9">
        <w:t>C</w:t>
      </w:r>
      <w:r>
        <w:t>ette circ</w:t>
      </w:r>
      <w:r>
        <w:t>u</w:t>
      </w:r>
      <w:r>
        <w:t>laire</w:t>
      </w:r>
      <w:r w:rsidR="009C6664" w:rsidRPr="00F43D59">
        <w:t xml:space="preserve"> reconnait les prises en compte spécifiques pour les patients nécessitant une prise en charge justifiant des pr</w:t>
      </w:r>
      <w:r w:rsidR="009C6664" w:rsidRPr="00F43D59">
        <w:t>é</w:t>
      </w:r>
      <w:r w:rsidR="009C6664" w:rsidRPr="00F43D59">
        <w:t>cautions particulières lors de la réalisation de certains actes ou la délivrance de certains soins et qui n</w:t>
      </w:r>
      <w:r w:rsidR="009C6664" w:rsidRPr="00F43D59">
        <w:t>é</w:t>
      </w:r>
      <w:r w:rsidR="009C6664" w:rsidRPr="00F43D59">
        <w:t>cessitent une utilisation de moyens supplémentaires (technique ou humain) pour réaliser la prise en charge prévu</w:t>
      </w:r>
      <w:r>
        <w:t>e</w:t>
      </w:r>
      <w:r w:rsidR="009C6664" w:rsidRPr="00F43D59">
        <w:t xml:space="preserve"> du fait de l’état du patient. </w:t>
      </w:r>
    </w:p>
    <w:p w14:paraId="322BC480" w14:textId="6D5AE8C5" w:rsidR="0063115C" w:rsidRPr="008215CC" w:rsidRDefault="0063115C" w:rsidP="00AB729D">
      <w:pPr>
        <w:pStyle w:val="EncadreCorpsdeTexte"/>
      </w:pPr>
      <w:r w:rsidRPr="00F2485A">
        <w:t xml:space="preserve">Proposition </w:t>
      </w:r>
      <w:r w:rsidR="000E4619" w:rsidRPr="00F2485A">
        <w:t>n° 3</w:t>
      </w:r>
      <w:r w:rsidR="00422705" w:rsidRPr="00F2485A">
        <w:t>4</w:t>
      </w:r>
      <w:r w:rsidRPr="00F2485A">
        <w:t xml:space="preserve"> : </w:t>
      </w:r>
      <w:r w:rsidR="00281050" w:rsidRPr="00F2485A">
        <w:t>Améliorer l</w:t>
      </w:r>
      <w:r w:rsidR="004C7A56" w:rsidRPr="00F2485A">
        <w:t>es indicateurs</w:t>
      </w:r>
      <w:r w:rsidR="00122D45" w:rsidRPr="00F2485A">
        <w:t xml:space="preserve"> de suivi des patients en situation de précarité accueillis par les établissements</w:t>
      </w:r>
      <w:r w:rsidR="004C7A56" w:rsidRPr="00F2485A">
        <w:t xml:space="preserve">, </w:t>
      </w:r>
      <w:r w:rsidR="000E4619" w:rsidRPr="00F2485A">
        <w:t>prévoir des financements</w:t>
      </w:r>
      <w:r w:rsidR="00122D45" w:rsidRPr="00F2485A">
        <w:t xml:space="preserve"> </w:t>
      </w:r>
      <w:r w:rsidR="00122D45" w:rsidRPr="00EA1EEF">
        <w:rPr>
          <w:i/>
        </w:rPr>
        <w:t>ad hoc</w:t>
      </w:r>
      <w:r w:rsidR="00122D45" w:rsidRPr="00F2485A">
        <w:t xml:space="preserve"> pour l’accueil et le soin de personnes en situation de ha</w:t>
      </w:r>
      <w:r w:rsidR="00122D45" w:rsidRPr="00F2485A">
        <w:t>n</w:t>
      </w:r>
      <w:r w:rsidR="00122D45" w:rsidRPr="00F2485A">
        <w:t>dicap</w:t>
      </w:r>
      <w:r w:rsidR="000E4619" w:rsidRPr="00F2485A">
        <w:t>, généraliser l’application de la circulaire frontière sur l’hôpital de jour</w:t>
      </w:r>
      <w:r w:rsidR="00BF0AFA">
        <w:t>.</w:t>
      </w:r>
    </w:p>
    <w:p w14:paraId="384520B2" w14:textId="77777777" w:rsidR="00F7630E" w:rsidRPr="00F7630E" w:rsidRDefault="00F7630E" w:rsidP="001074CF">
      <w:pPr>
        <w:pStyle w:val="Titre3"/>
      </w:pPr>
      <w:bookmarkStart w:id="447" w:name="_Toc518750573"/>
      <w:bookmarkStart w:id="448" w:name="_Toc523327701"/>
      <w:r w:rsidRPr="00F7630E">
        <w:lastRenderedPageBreak/>
        <w:t>Définir clairement le contenu du panier de soins des établissements sanitaires et médico-sociaux</w:t>
      </w:r>
      <w:bookmarkEnd w:id="447"/>
      <w:bookmarkEnd w:id="448"/>
    </w:p>
    <w:p w14:paraId="353349B0" w14:textId="5A52789C" w:rsidR="00701E77" w:rsidRPr="00F7630E" w:rsidRDefault="00F7630E" w:rsidP="00313528">
      <w:pPr>
        <w:pStyle w:val="Corpsdetexte"/>
        <w:ind w:firstLine="284"/>
      </w:pPr>
      <w:r w:rsidRPr="00F7630E">
        <w:t xml:space="preserve">La clarification du panier de soins des établissements sanitaires et médicaux sociaux est indispensable. </w:t>
      </w:r>
      <w:r w:rsidR="00701E77">
        <w:t>La situ</w:t>
      </w:r>
      <w:r w:rsidR="00701E77">
        <w:t>a</w:t>
      </w:r>
      <w:r w:rsidR="00701E77">
        <w:t>tion</w:t>
      </w:r>
      <w:r w:rsidR="00701E77" w:rsidRPr="00F7630E">
        <w:t xml:space="preserve"> </w:t>
      </w:r>
      <w:r w:rsidR="00701E77">
        <w:t xml:space="preserve">actuelle qui perdure n’est pas acceptable. L’impact est majeur sur le parcours des personnes.  Le « tout établissement » ne répond plus aux attentes. La possibilité de sortir temporairement, facilement, est souhaitée mais très difficile en raison des </w:t>
      </w:r>
      <w:r w:rsidR="00A91DEF">
        <w:t>différences</w:t>
      </w:r>
      <w:r w:rsidR="00701E77">
        <w:t xml:space="preserve"> d’interprétations du contenu du panier de soins des </w:t>
      </w:r>
      <w:r w:rsidR="00BF0AFA" w:rsidRPr="00BF0AFA">
        <w:t xml:space="preserve">établissements et services médico-sociaux </w:t>
      </w:r>
      <w:r w:rsidR="00BF0AFA">
        <w:t>(</w:t>
      </w:r>
      <w:r w:rsidR="00701E77">
        <w:t>ESMS</w:t>
      </w:r>
      <w:r w:rsidR="00BF0AFA">
        <w:t>)</w:t>
      </w:r>
      <w:r w:rsidR="00701E77">
        <w:t xml:space="preserve">. </w:t>
      </w:r>
    </w:p>
    <w:p w14:paraId="6EBBA3B8" w14:textId="28E9D61C" w:rsidR="00F7630E" w:rsidRPr="00F7630E" w:rsidRDefault="00F7630E" w:rsidP="00A96320">
      <w:pPr>
        <w:pStyle w:val="Corpsdetexte"/>
        <w:ind w:firstLine="284"/>
      </w:pPr>
      <w:r w:rsidRPr="00F7630E">
        <w:t>Les règles du jeu, les interprétations sont variables en fonction des CPAM. Le contenu réel des services et activ</w:t>
      </w:r>
      <w:r w:rsidRPr="00F7630E">
        <w:t>i</w:t>
      </w:r>
      <w:r w:rsidRPr="00F7630E">
        <w:t xml:space="preserve">tés financés par l’enveloppe soin dans le budget des établissements médico-sociaux n’est pas clair et source de nombreuses polémiques. La finalisation rapide des accords entre la CNAM et la DGCS est une priorité. </w:t>
      </w:r>
    </w:p>
    <w:p w14:paraId="2F84CAF2" w14:textId="51FDE7DA" w:rsidR="00F7630E" w:rsidRPr="00F7630E" w:rsidRDefault="00F7630E" w:rsidP="0057371A">
      <w:pPr>
        <w:pStyle w:val="Corpsdetexte"/>
        <w:ind w:firstLine="284"/>
      </w:pPr>
      <w:r w:rsidRPr="00F7630E">
        <w:t>Nous recommandons que le contenu des prestations relevant de son financement soit finalisé, transparent et identique sur le plan national</w:t>
      </w:r>
      <w:r w:rsidR="005D2A5C">
        <w:t>,</w:t>
      </w:r>
      <w:r w:rsidRPr="00F7630E">
        <w:t xml:space="preserve"> de même que les règles et modalités de dépassement de ce panier</w:t>
      </w:r>
      <w:r w:rsidR="005D2A5C">
        <w:t xml:space="preserve"> </w:t>
      </w:r>
      <w:r w:rsidRPr="00F7630E">
        <w:t>(</w:t>
      </w:r>
      <w:r w:rsidR="005D2A5C">
        <w:t>e</w:t>
      </w:r>
      <w:r w:rsidRPr="00F7630E">
        <w:t>ntente pré</w:t>
      </w:r>
      <w:r w:rsidRPr="00F7630E">
        <w:t>a</w:t>
      </w:r>
      <w:r w:rsidRPr="00F7630E">
        <w:t>lable</w:t>
      </w:r>
      <w:r w:rsidR="005D2A5C">
        <w:t xml:space="preserve"> ou tout</w:t>
      </w:r>
      <w:r w:rsidRPr="00F7630E">
        <w:t xml:space="preserve"> autre</w:t>
      </w:r>
      <w:r w:rsidR="005D2A5C">
        <w:t xml:space="preserve"> solution)</w:t>
      </w:r>
      <w:r w:rsidRPr="00F7630E">
        <w:t>. Le suivi de la consommation dans le cadre de Résid-PH doit permettre de suivre précisément la c</w:t>
      </w:r>
      <w:r w:rsidR="006B2A93">
        <w:t>onsommation et les engagements</w:t>
      </w:r>
      <w:r w:rsidR="005D2A5C">
        <w:t>.</w:t>
      </w:r>
      <w:r w:rsidR="006B2A93">
        <w:t xml:space="preserve"> </w:t>
      </w:r>
    </w:p>
    <w:p w14:paraId="146A7E8F" w14:textId="77777777" w:rsidR="00F7630E" w:rsidRPr="00F7630E" w:rsidRDefault="00F7630E" w:rsidP="00F7630E">
      <w:pPr>
        <w:pStyle w:val="Corpsdetexte"/>
      </w:pPr>
      <w:r w:rsidRPr="00F7630E">
        <w:t>Certains points méritent une attention particulière</w:t>
      </w:r>
      <w:r w:rsidR="006B2A93">
        <w:t> :</w:t>
      </w:r>
    </w:p>
    <w:p w14:paraId="5485E2DA" w14:textId="2DC7B70E" w:rsidR="00F7630E" w:rsidRPr="00F7630E" w:rsidRDefault="00F7630E" w:rsidP="006B2A93">
      <w:pPr>
        <w:pStyle w:val="Listecontinue"/>
      </w:pPr>
      <w:r w:rsidRPr="00F7630E">
        <w:t>Réaffirmer que l’une des missions des professionnels des ESM</w:t>
      </w:r>
      <w:r w:rsidR="00E73FCA">
        <w:t>S</w:t>
      </w:r>
      <w:r w:rsidRPr="00F7630E">
        <w:t xml:space="preserve"> est de s’assurer du suivi de la santé de leur population : la prévention, l’orientation auprès des professionnels, l’identification de </w:t>
      </w:r>
      <w:r w:rsidR="006B2A93">
        <w:t>difficultés d’accès à l’offre</w:t>
      </w:r>
      <w:r w:rsidR="00E95A5A">
        <w:t>, etc.</w:t>
      </w:r>
    </w:p>
    <w:p w14:paraId="2F5CBA29" w14:textId="61C6677B" w:rsidR="00F7630E" w:rsidRPr="00F7630E" w:rsidRDefault="00736E2D" w:rsidP="006B2A93">
      <w:pPr>
        <w:pStyle w:val="Listecontinue"/>
      </w:pPr>
      <w:r>
        <w:t xml:space="preserve">Faciliter l’accès aux </w:t>
      </w:r>
      <w:r w:rsidR="00F7630E" w:rsidRPr="00F7630E">
        <w:t>médicaments trop coûteux. Les mêmes règles de financement que pour le MCO et le</w:t>
      </w:r>
      <w:r w:rsidR="00E73FCA">
        <w:t>s soins de suite et de réadaptation (</w:t>
      </w:r>
      <w:r w:rsidR="00F7630E" w:rsidRPr="00F7630E">
        <w:t>SSR</w:t>
      </w:r>
      <w:r w:rsidR="00E73FCA">
        <w:t>)</w:t>
      </w:r>
      <w:r w:rsidR="00F7630E" w:rsidRPr="00F7630E">
        <w:t xml:space="preserve"> doivent être appliquées. Actuellement des patients qui ont besoin de thér</w:t>
      </w:r>
      <w:r w:rsidR="00F7630E" w:rsidRPr="00F7630E">
        <w:t>a</w:t>
      </w:r>
      <w:r w:rsidR="00F7630E" w:rsidRPr="00F7630E">
        <w:t>pies couteuses sont refusés en ESM</w:t>
      </w:r>
      <w:r w:rsidR="00E73FCA">
        <w:t>S</w:t>
      </w:r>
      <w:r w:rsidR="00F7630E" w:rsidRPr="00F7630E">
        <w:t xml:space="preserve"> et restent inutilement hospitalisés.</w:t>
      </w:r>
    </w:p>
    <w:p w14:paraId="135E7F21" w14:textId="584C1311" w:rsidR="00F7630E" w:rsidRPr="00F7630E" w:rsidRDefault="00736E2D" w:rsidP="006B2A93">
      <w:pPr>
        <w:pStyle w:val="Listecontinue"/>
      </w:pPr>
      <w:r>
        <w:t>Clarifier l</w:t>
      </w:r>
      <w:r w:rsidR="00F7630E" w:rsidRPr="00F7630E">
        <w:t>es transports sanitaires : aussi bien les transports pour les consultations de spécialistes liées à la p</w:t>
      </w:r>
      <w:r w:rsidR="00F7630E" w:rsidRPr="00F7630E">
        <w:t>a</w:t>
      </w:r>
      <w:r w:rsidR="00F7630E" w:rsidRPr="00F7630E">
        <w:t>thologie spécifique que les transports nécessaires à l’accès aux soins primaires, en particulier dentaire</w:t>
      </w:r>
      <w:r w:rsidR="00E73FCA">
        <w:t>s,</w:t>
      </w:r>
      <w:r w:rsidR="00F7630E" w:rsidRPr="00F7630E">
        <w:t xml:space="preserve"> gynéco</w:t>
      </w:r>
      <w:r w:rsidR="00E73FCA">
        <w:t>logique</w:t>
      </w:r>
      <w:r w:rsidR="00F7630E" w:rsidRPr="00F7630E">
        <w:t>s ou autre.</w:t>
      </w:r>
    </w:p>
    <w:p w14:paraId="2B3FCC5D" w14:textId="7BA60E73" w:rsidR="00F7630E" w:rsidRDefault="00F7630E" w:rsidP="00F7630E">
      <w:pPr>
        <w:pStyle w:val="Listecontinue"/>
      </w:pPr>
      <w:r w:rsidRPr="00F7630E">
        <w:t xml:space="preserve">Rendre possible la double tarification qui est </w:t>
      </w:r>
      <w:r w:rsidR="00E73FCA">
        <w:t>i</w:t>
      </w:r>
      <w:r w:rsidRPr="00F7630E">
        <w:t xml:space="preserve">ndispensable à la fois pour fluidifier les parcours </w:t>
      </w:r>
      <w:r w:rsidR="00E73FCA">
        <w:t>(par exemple, entre</w:t>
      </w:r>
      <w:r w:rsidRPr="00F7630E">
        <w:t xml:space="preserve"> domicile et institution les </w:t>
      </w:r>
      <w:r w:rsidR="00E73FCA">
        <w:t>week-ends</w:t>
      </w:r>
      <w:r w:rsidRPr="00F7630E">
        <w:t xml:space="preserve">, les nuits, </w:t>
      </w:r>
      <w:r w:rsidR="00736E2D">
        <w:t>les vacances</w:t>
      </w:r>
      <w:r w:rsidR="00E73FCA">
        <w:t>)</w:t>
      </w:r>
      <w:r w:rsidR="00736E2D">
        <w:t xml:space="preserve"> </w:t>
      </w:r>
      <w:r w:rsidRPr="00F7630E">
        <w:t>et répondre à l’accès de professionnels lib</w:t>
      </w:r>
      <w:r w:rsidRPr="00F7630E">
        <w:t>é</w:t>
      </w:r>
      <w:r w:rsidRPr="00F7630E">
        <w:t xml:space="preserve">raux en cas d’absences dans les établissements. </w:t>
      </w:r>
    </w:p>
    <w:p w14:paraId="74CEB162" w14:textId="71191D98" w:rsidR="00916B78" w:rsidRPr="00F7630E" w:rsidRDefault="00916B78" w:rsidP="00916B78">
      <w:pPr>
        <w:pStyle w:val="EncadreCorpsdeTexte"/>
      </w:pPr>
      <w:r>
        <w:t>Proposition n°3</w:t>
      </w:r>
      <w:r w:rsidR="00310C91">
        <w:t>5</w:t>
      </w:r>
      <w:r>
        <w:t xml:space="preserve"> </w:t>
      </w:r>
      <w:r w:rsidRPr="00F7630E">
        <w:t xml:space="preserve">: </w:t>
      </w:r>
      <w:r w:rsidRPr="001A2597">
        <w:t>Finaliser, rendre transparent et homogène sur le territoire le panier de soins des E</w:t>
      </w:r>
      <w:r w:rsidR="00736E2D">
        <w:t>S</w:t>
      </w:r>
      <w:r w:rsidRPr="001A2597">
        <w:t>MS de même que les règles et modalités de dépassement</w:t>
      </w:r>
      <w:r w:rsidRPr="001A2597" w:rsidDel="004D49C1">
        <w:t xml:space="preserve"> </w:t>
      </w:r>
      <w:r w:rsidR="00736E2D">
        <w:t>et d’utilisation des soins de ville</w:t>
      </w:r>
      <w:r w:rsidR="00E73FCA">
        <w:t>.</w:t>
      </w:r>
    </w:p>
    <w:p w14:paraId="498FC82D" w14:textId="512CEB09" w:rsidR="00F7630E" w:rsidRPr="00F7630E" w:rsidRDefault="00A91DEF" w:rsidP="001074CF">
      <w:pPr>
        <w:pStyle w:val="Titre3"/>
      </w:pPr>
      <w:bookmarkStart w:id="449" w:name="_Toc518750574"/>
      <w:bookmarkStart w:id="450" w:name="_Toc523327702"/>
      <w:r>
        <w:t>Accepter</w:t>
      </w:r>
      <w:r w:rsidRPr="00F7630E">
        <w:t xml:space="preserve"> les transports des personnes à mobilité réduite</w:t>
      </w:r>
      <w:r>
        <w:t xml:space="preserve"> (TPMR)</w:t>
      </w:r>
      <w:r w:rsidRPr="00F7630E">
        <w:t xml:space="preserve"> pour des transports sanitaires</w:t>
      </w:r>
      <w:bookmarkEnd w:id="449"/>
      <w:bookmarkEnd w:id="450"/>
    </w:p>
    <w:p w14:paraId="2BFF4FA0" w14:textId="6B91548A" w:rsidR="00F7630E" w:rsidRDefault="00F7630E" w:rsidP="00313528">
      <w:pPr>
        <w:pStyle w:val="Corpsdetexte"/>
        <w:ind w:firstLine="284"/>
      </w:pPr>
      <w:r w:rsidRPr="00F7630E">
        <w:t>Les personnes handicapées qui utilisent des aides techniques importantes pour leur autonomie de déplac</w:t>
      </w:r>
      <w:r w:rsidRPr="00F7630E">
        <w:t>e</w:t>
      </w:r>
      <w:r w:rsidRPr="00F7630E">
        <w:t>ment - en particulier les fauteuils roulants électriques - doivent être transportées avec leurs aides techniques quand elles ont besoin de recourir à une consultation ou une hospitalisation. Leur autonomie de déplacement est indispensable dans leur parcours sanitaire. Aujourd’hui la très grande majorité de</w:t>
      </w:r>
      <w:r w:rsidR="00E73FCA">
        <w:t>s</w:t>
      </w:r>
      <w:r w:rsidRPr="00F7630E">
        <w:t xml:space="preserve"> types et catégories de véhicules utilisés reconnus et remboursés pour les transports sanitaires ne permettent pas de transporter des personnes avec leur fauteuil roulant électrique. Cela impose un transport sanitaire souvent en ambulance, en décubitus, et fait donc perdre toute autonomie aux patients lorsqu’ils arrivent dans la structure de soins. Ils ne </w:t>
      </w:r>
      <w:r w:rsidR="006B2A93">
        <w:t>peuvent y circuler à leur aise.</w:t>
      </w:r>
    </w:p>
    <w:p w14:paraId="0E7A3358" w14:textId="10ACC71C" w:rsidR="00AB3176" w:rsidRDefault="00AB3176" w:rsidP="00313528">
      <w:pPr>
        <w:autoSpaceDE w:val="0"/>
        <w:autoSpaceDN w:val="0"/>
        <w:ind w:firstLine="284"/>
        <w:jc w:val="both"/>
      </w:pPr>
      <w:r>
        <w:t>Le transport, par utilisation d’un</w:t>
      </w:r>
      <w:r w:rsidRPr="00F7630E">
        <w:t xml:space="preserve"> transport pour personnes à mobilité réduite (TPM</w:t>
      </w:r>
      <w:r w:rsidR="003B5481">
        <w:t>R</w:t>
      </w:r>
      <w:r w:rsidRPr="00F7630E">
        <w:t>)</w:t>
      </w:r>
      <w:r>
        <w:t>,</w:t>
      </w:r>
      <w:r w:rsidRPr="00F7630E">
        <w:t xml:space="preserve"> </w:t>
      </w:r>
      <w:r>
        <w:t xml:space="preserve">pour une  hospitalisation ou une consultation médicale ou </w:t>
      </w:r>
      <w:r w:rsidR="00A91DEF">
        <w:t>paramédicale (</w:t>
      </w:r>
      <w:r>
        <w:t xml:space="preserve">que ce soit du domicile ou d’un </w:t>
      </w:r>
      <w:r w:rsidR="00E73FCA">
        <w:t>établissement social ou médico-social</w:t>
      </w:r>
      <w:r>
        <w:t xml:space="preserve">), doit </w:t>
      </w:r>
      <w:r w:rsidR="00A91DEF">
        <w:t>être</w:t>
      </w:r>
      <w:r>
        <w:t xml:space="preserve"> reconnu </w:t>
      </w:r>
      <w:r w:rsidR="00A769C5">
        <w:t xml:space="preserve">et </w:t>
      </w:r>
      <w:r>
        <w:t>remboursé  par la CPAM</w:t>
      </w:r>
      <w:r w:rsidRPr="00713CCA">
        <w:t xml:space="preserve"> </w:t>
      </w:r>
      <w:r>
        <w:t>sur prescription médicale</w:t>
      </w:r>
      <w:r w:rsidR="00E73FCA">
        <w:t>,</w:t>
      </w:r>
      <w:r>
        <w:t xml:space="preserve"> que le trajet soit assuré</w:t>
      </w:r>
      <w:r w:rsidR="00A91DEF">
        <w:t xml:space="preserve"> </w:t>
      </w:r>
      <w:r>
        <w:t>par</w:t>
      </w:r>
      <w:r w:rsidR="00A769C5">
        <w:t xml:space="preserve"> : </w:t>
      </w:r>
      <w:r>
        <w:t>un établissement médico-</w:t>
      </w:r>
      <w:r w:rsidR="00A91DEF">
        <w:t>social,</w:t>
      </w:r>
      <w:r w:rsidRPr="00713CCA">
        <w:t xml:space="preserve"> </w:t>
      </w:r>
      <w:r>
        <w:t>un transporteur sanitaire ou tout type de transporteur ayant conventionné avec la CPAM sur le territoire,  par extension d’agrément.</w:t>
      </w:r>
    </w:p>
    <w:p w14:paraId="73CA3744" w14:textId="4F5F3D76" w:rsidR="00A3139E" w:rsidRPr="00F7630E" w:rsidRDefault="00916B78" w:rsidP="00A3139E">
      <w:pPr>
        <w:pStyle w:val="EncadreCorpsdeTexte"/>
      </w:pPr>
      <w:r>
        <w:lastRenderedPageBreak/>
        <w:t>Proposition n°3</w:t>
      </w:r>
      <w:r w:rsidR="00310C91">
        <w:t>6</w:t>
      </w:r>
      <w:r>
        <w:t xml:space="preserve"> </w:t>
      </w:r>
      <w:r w:rsidRPr="00F7630E">
        <w:t xml:space="preserve">: </w:t>
      </w:r>
      <w:r w:rsidR="00A3139E">
        <w:t>Reconnaitre les TP</w:t>
      </w:r>
      <w:r w:rsidR="006E6F65">
        <w:t>MR</w:t>
      </w:r>
      <w:r w:rsidR="00A3139E">
        <w:t xml:space="preserve"> comme transports sanitaires et</w:t>
      </w:r>
      <w:r w:rsidR="00A3139E" w:rsidRPr="00F7630E">
        <w:t xml:space="preserve"> prendre en charge l</w:t>
      </w:r>
      <w:r w:rsidR="00E73FCA">
        <w:t>eur</w:t>
      </w:r>
      <w:r w:rsidR="00907877">
        <w:t xml:space="preserve"> </w:t>
      </w:r>
      <w:r w:rsidR="00A3139E" w:rsidRPr="00F7630E">
        <w:t>util</w:t>
      </w:r>
      <w:r w:rsidR="00A3139E">
        <w:t>isation pour l’accès aux soins.</w:t>
      </w:r>
      <w:r w:rsidR="00A3139E" w:rsidRPr="00F7630E">
        <w:t xml:space="preserve"> </w:t>
      </w:r>
    </w:p>
    <w:p w14:paraId="641A9809" w14:textId="65A4D00F" w:rsidR="009A15C8" w:rsidRPr="009A15C8" w:rsidRDefault="009A15C8" w:rsidP="009A15C8">
      <w:pPr>
        <w:pStyle w:val="Titre2"/>
      </w:pPr>
      <w:bookmarkStart w:id="451" w:name="_Toc518750575"/>
      <w:bookmarkStart w:id="452" w:name="_Toc523327703"/>
      <w:r w:rsidRPr="009A15C8">
        <w:lastRenderedPageBreak/>
        <w:t>Assurer un pilotage efficient de la santé de ces populations à tous les niveaux</w:t>
      </w:r>
      <w:bookmarkEnd w:id="451"/>
      <w:bookmarkEnd w:id="452"/>
    </w:p>
    <w:p w14:paraId="6B478661" w14:textId="08C002DF" w:rsidR="009A15C8" w:rsidRPr="009A15C8" w:rsidRDefault="009A15C8" w:rsidP="009A15C8">
      <w:pPr>
        <w:pStyle w:val="Corpsdetexte"/>
      </w:pPr>
      <w:r w:rsidRPr="009A15C8">
        <w:t>La problématique de l’accès aux soins sera suivie et assur</w:t>
      </w:r>
      <w:r w:rsidR="00E73FCA">
        <w:t>ée</w:t>
      </w:r>
      <w:r w:rsidRPr="009A15C8">
        <w:t xml:space="preserve"> par un comité de pilotage ministériel qui se réunira chaque semestre. Le suivi des difficultés propres aux </w:t>
      </w:r>
      <w:r w:rsidR="00E73FCA">
        <w:t>personnes</w:t>
      </w:r>
      <w:r w:rsidR="00C151B6">
        <w:t xml:space="preserve"> en situation de </w:t>
      </w:r>
      <w:r w:rsidR="00E73FCA">
        <w:t>handicap</w:t>
      </w:r>
      <w:r w:rsidR="00E73FCA" w:rsidRPr="009A15C8">
        <w:t xml:space="preserve"> </w:t>
      </w:r>
      <w:r w:rsidRPr="009A15C8">
        <w:t>et</w:t>
      </w:r>
      <w:r w:rsidR="00E73FCA">
        <w:t xml:space="preserve"> aux personnes en </w:t>
      </w:r>
      <w:r w:rsidRPr="009A15C8">
        <w:t>e</w:t>
      </w:r>
      <w:r w:rsidRPr="009A15C8">
        <w:t>x</w:t>
      </w:r>
      <w:r w:rsidRPr="009A15C8">
        <w:t>clusion devra</w:t>
      </w:r>
      <w:r>
        <w:t xml:space="preserve"> être identifié dans ce cadre. </w:t>
      </w:r>
    </w:p>
    <w:p w14:paraId="31FB33C5" w14:textId="77777777" w:rsidR="009A15C8" w:rsidRPr="009A15C8" w:rsidRDefault="009A15C8" w:rsidP="009A15C8">
      <w:pPr>
        <w:pStyle w:val="Titre3"/>
      </w:pPr>
      <w:bookmarkStart w:id="453" w:name="_Toc517792268"/>
      <w:bookmarkStart w:id="454" w:name="_Toc517866230"/>
      <w:bookmarkStart w:id="455" w:name="_Toc517791965"/>
      <w:bookmarkStart w:id="456" w:name="_Toc517792269"/>
      <w:bookmarkStart w:id="457" w:name="_Toc517866231"/>
      <w:bookmarkStart w:id="458" w:name="_Toc517792270"/>
      <w:bookmarkStart w:id="459" w:name="_Toc517866232"/>
      <w:bookmarkStart w:id="460" w:name="_Toc518750576"/>
      <w:bookmarkStart w:id="461" w:name="_Toc523327704"/>
      <w:bookmarkEnd w:id="453"/>
      <w:bookmarkEnd w:id="454"/>
      <w:bookmarkEnd w:id="455"/>
      <w:bookmarkEnd w:id="456"/>
      <w:bookmarkEnd w:id="457"/>
      <w:bookmarkEnd w:id="458"/>
      <w:bookmarkEnd w:id="459"/>
      <w:r w:rsidRPr="009A15C8">
        <w:t>Fixer des responsabilités et des obligations transparentes</w:t>
      </w:r>
      <w:bookmarkEnd w:id="460"/>
      <w:bookmarkEnd w:id="461"/>
      <w:r w:rsidRPr="009A15C8">
        <w:t xml:space="preserve"> </w:t>
      </w:r>
    </w:p>
    <w:p w14:paraId="0CFDE236" w14:textId="77777777" w:rsidR="009A15C8" w:rsidRPr="009A15C8" w:rsidRDefault="009A15C8" w:rsidP="00B40570">
      <w:pPr>
        <w:pStyle w:val="Titre4"/>
      </w:pPr>
      <w:bookmarkStart w:id="462" w:name="_Toc523327705"/>
      <w:r w:rsidRPr="009A15C8">
        <w:t>Pour les établissements et services accueillant des personnes en situation de précarité et de handicap :</w:t>
      </w:r>
      <w:bookmarkEnd w:id="462"/>
      <w:r w:rsidRPr="009A15C8">
        <w:t xml:space="preserve"> </w:t>
      </w:r>
    </w:p>
    <w:p w14:paraId="02DBFCB3" w14:textId="01B8450D" w:rsidR="00832CA6" w:rsidRPr="00832CA6" w:rsidRDefault="00832CA6" w:rsidP="00F16B51">
      <w:pPr>
        <w:pStyle w:val="Corpsdetexte"/>
      </w:pPr>
      <w:r>
        <w:t>L</w:t>
      </w:r>
      <w:r w:rsidRPr="00832CA6">
        <w:t xml:space="preserve">’efficacité relative des nombreuses propositions déjà effectuées pour améliorer la santé en particulier des </w:t>
      </w:r>
      <w:r w:rsidR="00E73FCA">
        <w:t>pe</w:t>
      </w:r>
      <w:r w:rsidR="00E73FCA">
        <w:t>r</w:t>
      </w:r>
      <w:r w:rsidR="00E73FCA">
        <w:t xml:space="preserve">sonnes </w:t>
      </w:r>
      <w:r w:rsidR="00C151B6">
        <w:t xml:space="preserve">en situation de </w:t>
      </w:r>
      <w:r w:rsidR="00E73FCA">
        <w:t>handicap</w:t>
      </w:r>
      <w:r w:rsidRPr="00832CA6">
        <w:t xml:space="preserve"> </w:t>
      </w:r>
      <w:r w:rsidR="00144978" w:rsidRPr="00832CA6">
        <w:t>(rapport</w:t>
      </w:r>
      <w:r w:rsidRPr="00832CA6">
        <w:t xml:space="preserve"> HAS, Chartre Romain Jacob), s’explique en partie par l’absence de lien entre les recommandations et les indicateurs de certification ou d’évaluation des établissements mais aussi </w:t>
      </w:r>
      <w:r>
        <w:t xml:space="preserve">par </w:t>
      </w:r>
      <w:r w:rsidRPr="00832CA6">
        <w:t xml:space="preserve">les </w:t>
      </w:r>
      <w:r>
        <w:t xml:space="preserve">modalités de </w:t>
      </w:r>
      <w:r w:rsidRPr="00832CA6">
        <w:t>financement.</w:t>
      </w:r>
    </w:p>
    <w:p w14:paraId="4C7A12A7" w14:textId="77777777" w:rsidR="00832CA6" w:rsidRPr="008C475B" w:rsidRDefault="00832CA6" w:rsidP="00F16B51">
      <w:pPr>
        <w:pStyle w:val="Bullet1"/>
        <w:numPr>
          <w:ilvl w:val="0"/>
          <w:numId w:val="0"/>
        </w:numPr>
        <w:ind w:left="720" w:hanging="360"/>
      </w:pPr>
    </w:p>
    <w:p w14:paraId="022A7048" w14:textId="038C517C" w:rsidR="00832CA6" w:rsidRPr="00832CA6" w:rsidRDefault="00832CA6" w:rsidP="00F16B51">
      <w:pPr>
        <w:pStyle w:val="EncadreCorpsdeTexte"/>
      </w:pPr>
      <w:r w:rsidRPr="00832CA6">
        <w:t>Proposition n°</w:t>
      </w:r>
      <w:r w:rsidR="00681716">
        <w:t>3</w:t>
      </w:r>
      <w:r w:rsidR="00310C91">
        <w:t>7</w:t>
      </w:r>
      <w:r w:rsidRPr="00F16B51">
        <w:t xml:space="preserve"> : </w:t>
      </w:r>
      <w:r w:rsidRPr="00832CA6">
        <w:t>La mission recommande d’identifier des indicateurs de suivi de la santé de ces popul</w:t>
      </w:r>
      <w:r w:rsidRPr="00832CA6">
        <w:t>a</w:t>
      </w:r>
      <w:r w:rsidRPr="00832CA6">
        <w:t xml:space="preserve">tions </w:t>
      </w:r>
      <w:r w:rsidR="00D17084">
        <w:t xml:space="preserve">et de les </w:t>
      </w:r>
      <w:r w:rsidRPr="00832CA6">
        <w:t>inté</w:t>
      </w:r>
      <w:r w:rsidRPr="00F16B51">
        <w:t>gr</w:t>
      </w:r>
      <w:r w:rsidR="00D17084">
        <w:t>er</w:t>
      </w:r>
      <w:r w:rsidRPr="00832CA6">
        <w:t xml:space="preserve"> aussi bien dans la certification sanitaire que </w:t>
      </w:r>
      <w:r w:rsidR="00D17084">
        <w:t xml:space="preserve">dans </w:t>
      </w:r>
      <w:r w:rsidRPr="00832CA6">
        <w:t xml:space="preserve">l’évaluation externe et interne des structures </w:t>
      </w:r>
      <w:r w:rsidRPr="00F16B51">
        <w:t xml:space="preserve">sanitaires et </w:t>
      </w:r>
      <w:r w:rsidRPr="00832CA6">
        <w:t>médicosociales</w:t>
      </w:r>
      <w:r w:rsidR="005325BA">
        <w:t xml:space="preserve"> et dans les </w:t>
      </w:r>
      <w:r w:rsidR="00E73FCA" w:rsidRPr="00E73FCA">
        <w:t>contrat</w:t>
      </w:r>
      <w:r w:rsidR="0034283C">
        <w:t>s</w:t>
      </w:r>
      <w:r w:rsidR="00E73FCA" w:rsidRPr="00E73FCA">
        <w:t xml:space="preserve"> pluriannuel</w:t>
      </w:r>
      <w:r w:rsidR="0034283C">
        <w:t>s</w:t>
      </w:r>
      <w:r w:rsidR="00E73FCA" w:rsidRPr="00E73FCA">
        <w:t xml:space="preserve"> d'objectifs et de moyens </w:t>
      </w:r>
      <w:r w:rsidR="00E73FCA">
        <w:t>(</w:t>
      </w:r>
      <w:r w:rsidR="005325BA">
        <w:t>CPOM</w:t>
      </w:r>
      <w:r w:rsidR="00E73FCA">
        <w:t>).</w:t>
      </w:r>
    </w:p>
    <w:p w14:paraId="31223BF2" w14:textId="77777777" w:rsidR="00832CA6" w:rsidRPr="00F16B51" w:rsidRDefault="00832CA6" w:rsidP="00832CA6">
      <w:pPr>
        <w:pStyle w:val="Bullet1"/>
        <w:numPr>
          <w:ilvl w:val="0"/>
          <w:numId w:val="0"/>
        </w:numPr>
        <w:rPr>
          <w:rFonts w:ascii="Calibri" w:eastAsia="Calibri" w:hAnsi="Calibri" w:cs="Times New Roman"/>
          <w:color w:val="1A171B"/>
          <w:sz w:val="20"/>
        </w:rPr>
      </w:pPr>
    </w:p>
    <w:p w14:paraId="096278D4" w14:textId="788BAB34" w:rsidR="00832CA6" w:rsidRPr="00F16B51" w:rsidRDefault="00832CA6" w:rsidP="00832CA6">
      <w:pPr>
        <w:pStyle w:val="Bullet1"/>
        <w:numPr>
          <w:ilvl w:val="0"/>
          <w:numId w:val="0"/>
        </w:numPr>
        <w:rPr>
          <w:rFonts w:ascii="Calibri" w:eastAsia="Calibri" w:hAnsi="Calibri" w:cs="Times New Roman"/>
          <w:color w:val="1A171B"/>
          <w:sz w:val="20"/>
        </w:rPr>
      </w:pPr>
      <w:r w:rsidRPr="00832CA6">
        <w:rPr>
          <w:rFonts w:ascii="Calibri" w:eastAsia="Calibri" w:hAnsi="Calibri" w:cs="Times New Roman"/>
          <w:color w:val="1A171B"/>
          <w:sz w:val="20"/>
        </w:rPr>
        <w:t xml:space="preserve">Il </w:t>
      </w:r>
      <w:r>
        <w:rPr>
          <w:rFonts w:ascii="Calibri" w:eastAsia="Calibri" w:hAnsi="Calibri" w:cs="Times New Roman"/>
          <w:color w:val="1A171B"/>
          <w:sz w:val="20"/>
        </w:rPr>
        <w:t>s</w:t>
      </w:r>
      <w:r w:rsidRPr="00F16B51">
        <w:rPr>
          <w:rFonts w:ascii="Calibri" w:eastAsia="Calibri" w:hAnsi="Calibri" w:cs="Times New Roman"/>
          <w:color w:val="1A171B"/>
          <w:sz w:val="20"/>
        </w:rPr>
        <w:t>’agit dans une première</w:t>
      </w:r>
      <w:r w:rsidRPr="00832CA6">
        <w:rPr>
          <w:rFonts w:ascii="Calibri" w:eastAsia="Calibri" w:hAnsi="Calibri" w:cs="Times New Roman"/>
          <w:color w:val="1A171B"/>
          <w:sz w:val="20"/>
        </w:rPr>
        <w:t xml:space="preserve"> étape</w:t>
      </w:r>
      <w:r w:rsidRPr="00F16B51">
        <w:rPr>
          <w:rFonts w:ascii="Calibri" w:eastAsia="Calibri" w:hAnsi="Calibri" w:cs="Times New Roman"/>
          <w:color w:val="1A171B"/>
          <w:sz w:val="20"/>
        </w:rPr>
        <w:t xml:space="preserve"> </w:t>
      </w:r>
      <w:r w:rsidRPr="00832CA6">
        <w:rPr>
          <w:rFonts w:ascii="Calibri" w:eastAsia="Calibri" w:hAnsi="Calibri" w:cs="Times New Roman"/>
          <w:color w:val="1A171B"/>
          <w:sz w:val="20"/>
        </w:rPr>
        <w:t>d</w:t>
      </w:r>
      <w:r>
        <w:rPr>
          <w:rFonts w:ascii="Calibri" w:eastAsia="Calibri" w:hAnsi="Calibri" w:cs="Times New Roman"/>
          <w:color w:val="1A171B"/>
          <w:sz w:val="20"/>
        </w:rPr>
        <w:t>’intégration d’</w:t>
      </w:r>
      <w:r w:rsidRPr="00F16B51">
        <w:rPr>
          <w:rFonts w:ascii="Calibri" w:eastAsia="Calibri" w:hAnsi="Calibri" w:cs="Times New Roman"/>
          <w:color w:val="1A171B"/>
          <w:sz w:val="20"/>
        </w:rPr>
        <w:t>indicateur</w:t>
      </w:r>
      <w:r>
        <w:rPr>
          <w:rFonts w:ascii="Calibri" w:eastAsia="Calibri" w:hAnsi="Calibri" w:cs="Times New Roman"/>
          <w:color w:val="1A171B"/>
          <w:sz w:val="20"/>
        </w:rPr>
        <w:t>s</w:t>
      </w:r>
      <w:r w:rsidRPr="00F16B51">
        <w:rPr>
          <w:rFonts w:ascii="Calibri" w:eastAsia="Calibri" w:hAnsi="Calibri" w:cs="Times New Roman"/>
          <w:color w:val="1A171B"/>
          <w:sz w:val="20"/>
        </w:rPr>
        <w:t xml:space="preserve"> de suivi de la santé et des actions de prévention e</w:t>
      </w:r>
      <w:r w:rsidR="00991752">
        <w:rPr>
          <w:rFonts w:ascii="Calibri" w:eastAsia="Calibri" w:hAnsi="Calibri" w:cs="Times New Roman"/>
          <w:color w:val="1A171B"/>
          <w:sz w:val="20"/>
        </w:rPr>
        <w:t>n</w:t>
      </w:r>
      <w:r w:rsidRPr="00F16B51">
        <w:rPr>
          <w:rFonts w:ascii="Calibri" w:eastAsia="Calibri" w:hAnsi="Calibri" w:cs="Times New Roman"/>
          <w:color w:val="1A171B"/>
          <w:sz w:val="20"/>
        </w:rPr>
        <w:t xml:space="preserve">treprises : vaccination, proposition de suivi, partenariat avec le sanitaire, actualisation de la prévention dans les dossiers des </w:t>
      </w:r>
      <w:r w:rsidR="00E73FCA">
        <w:rPr>
          <w:rFonts w:ascii="Calibri" w:eastAsia="Calibri" w:hAnsi="Calibri" w:cs="Times New Roman"/>
          <w:color w:val="1A171B"/>
          <w:sz w:val="20"/>
        </w:rPr>
        <w:t xml:space="preserve">personnes </w:t>
      </w:r>
      <w:r w:rsidR="00891A0B">
        <w:rPr>
          <w:rFonts w:ascii="Calibri" w:eastAsia="Calibri" w:hAnsi="Calibri" w:cs="Times New Roman"/>
          <w:color w:val="1A171B"/>
          <w:sz w:val="20"/>
        </w:rPr>
        <w:t xml:space="preserve">en situation de </w:t>
      </w:r>
      <w:r w:rsidR="00E73FCA">
        <w:rPr>
          <w:rFonts w:ascii="Calibri" w:eastAsia="Calibri" w:hAnsi="Calibri" w:cs="Times New Roman"/>
          <w:color w:val="1A171B"/>
          <w:sz w:val="20"/>
        </w:rPr>
        <w:t>handicap, etc</w:t>
      </w:r>
      <w:r w:rsidRPr="00F16B51">
        <w:rPr>
          <w:rFonts w:ascii="Calibri" w:eastAsia="Calibri" w:hAnsi="Calibri" w:cs="Times New Roman"/>
          <w:color w:val="1A171B"/>
          <w:sz w:val="20"/>
        </w:rPr>
        <w:t>.</w:t>
      </w:r>
      <w:r w:rsidR="00E73FCA">
        <w:rPr>
          <w:rFonts w:ascii="Calibri" w:eastAsia="Calibri" w:hAnsi="Calibri" w:cs="Times New Roman"/>
          <w:color w:val="1A171B"/>
          <w:sz w:val="20"/>
        </w:rPr>
        <w:t xml:space="preserve"> </w:t>
      </w:r>
      <w:r>
        <w:rPr>
          <w:rFonts w:ascii="Calibri" w:eastAsia="Calibri" w:hAnsi="Calibri" w:cs="Times New Roman"/>
          <w:color w:val="1A171B"/>
          <w:sz w:val="20"/>
        </w:rPr>
        <w:t>Ces i</w:t>
      </w:r>
      <w:r w:rsidRPr="00F16B51">
        <w:rPr>
          <w:rFonts w:ascii="Calibri" w:eastAsia="Calibri" w:hAnsi="Calibri" w:cs="Times New Roman"/>
          <w:color w:val="1A171B"/>
          <w:sz w:val="20"/>
        </w:rPr>
        <w:t xml:space="preserve">ndicateurs </w:t>
      </w:r>
      <w:r>
        <w:rPr>
          <w:rFonts w:ascii="Calibri" w:eastAsia="Calibri" w:hAnsi="Calibri" w:cs="Times New Roman"/>
          <w:color w:val="1A171B"/>
          <w:sz w:val="20"/>
        </w:rPr>
        <w:t>serai</w:t>
      </w:r>
      <w:r w:rsidR="00E73FCA">
        <w:rPr>
          <w:rFonts w:ascii="Calibri" w:eastAsia="Calibri" w:hAnsi="Calibri" w:cs="Times New Roman"/>
          <w:color w:val="1A171B"/>
          <w:sz w:val="20"/>
        </w:rPr>
        <w:t>en</w:t>
      </w:r>
      <w:r>
        <w:rPr>
          <w:rFonts w:ascii="Calibri" w:eastAsia="Calibri" w:hAnsi="Calibri" w:cs="Times New Roman"/>
          <w:color w:val="1A171B"/>
          <w:sz w:val="20"/>
        </w:rPr>
        <w:t xml:space="preserve">t </w:t>
      </w:r>
      <w:r w:rsidRPr="00F16B51">
        <w:rPr>
          <w:rFonts w:ascii="Calibri" w:eastAsia="Calibri" w:hAnsi="Calibri" w:cs="Times New Roman"/>
          <w:color w:val="1A171B"/>
          <w:sz w:val="20"/>
        </w:rPr>
        <w:t xml:space="preserve">à élaborer et </w:t>
      </w:r>
      <w:r w:rsidR="00E73FCA">
        <w:rPr>
          <w:rFonts w:ascii="Calibri" w:eastAsia="Calibri" w:hAnsi="Calibri" w:cs="Times New Roman"/>
          <w:color w:val="1A171B"/>
          <w:sz w:val="20"/>
        </w:rPr>
        <w:t xml:space="preserve">à </w:t>
      </w:r>
      <w:r w:rsidRPr="00F16B51">
        <w:rPr>
          <w:rFonts w:ascii="Calibri" w:eastAsia="Calibri" w:hAnsi="Calibri" w:cs="Times New Roman"/>
          <w:color w:val="1A171B"/>
          <w:sz w:val="20"/>
        </w:rPr>
        <w:t>tester dès 2019 pour une génér</w:t>
      </w:r>
      <w:r w:rsidR="00991752">
        <w:rPr>
          <w:rFonts w:ascii="Calibri" w:eastAsia="Calibri" w:hAnsi="Calibri" w:cs="Times New Roman"/>
          <w:color w:val="1A171B"/>
          <w:sz w:val="20"/>
        </w:rPr>
        <w:t>a</w:t>
      </w:r>
      <w:r w:rsidRPr="00F16B51">
        <w:rPr>
          <w:rFonts w:ascii="Calibri" w:eastAsia="Calibri" w:hAnsi="Calibri" w:cs="Times New Roman"/>
          <w:color w:val="1A171B"/>
          <w:sz w:val="20"/>
        </w:rPr>
        <w:t xml:space="preserve">lisation </w:t>
      </w:r>
      <w:r>
        <w:rPr>
          <w:rFonts w:ascii="Calibri" w:eastAsia="Calibri" w:hAnsi="Calibri" w:cs="Times New Roman"/>
          <w:color w:val="1A171B"/>
          <w:sz w:val="20"/>
        </w:rPr>
        <w:t xml:space="preserve">en </w:t>
      </w:r>
      <w:r w:rsidRPr="00832CA6">
        <w:rPr>
          <w:rFonts w:ascii="Calibri" w:eastAsia="Calibri" w:hAnsi="Calibri" w:cs="Times New Roman"/>
          <w:color w:val="1A171B"/>
          <w:sz w:val="20"/>
        </w:rPr>
        <w:t>20</w:t>
      </w:r>
      <w:r>
        <w:rPr>
          <w:rFonts w:ascii="Calibri" w:eastAsia="Calibri" w:hAnsi="Calibri" w:cs="Times New Roman"/>
          <w:color w:val="1A171B"/>
          <w:sz w:val="20"/>
        </w:rPr>
        <w:t>2</w:t>
      </w:r>
      <w:r w:rsidRPr="00F16B51">
        <w:rPr>
          <w:rFonts w:ascii="Calibri" w:eastAsia="Calibri" w:hAnsi="Calibri" w:cs="Times New Roman"/>
          <w:color w:val="1A171B"/>
          <w:sz w:val="20"/>
        </w:rPr>
        <w:t>0. Dans une deuxième étape et en fonction de l’organisation et de l’offre d</w:t>
      </w:r>
      <w:r w:rsidRPr="00832CA6">
        <w:rPr>
          <w:rFonts w:ascii="Calibri" w:eastAsia="Calibri" w:hAnsi="Calibri" w:cs="Times New Roman"/>
          <w:color w:val="1A171B"/>
          <w:sz w:val="20"/>
        </w:rPr>
        <w:t>ans les terr</w:t>
      </w:r>
      <w:r w:rsidRPr="00832CA6">
        <w:rPr>
          <w:rFonts w:ascii="Calibri" w:eastAsia="Calibri" w:hAnsi="Calibri" w:cs="Times New Roman"/>
          <w:color w:val="1A171B"/>
          <w:sz w:val="20"/>
        </w:rPr>
        <w:t>i</w:t>
      </w:r>
      <w:r w:rsidRPr="00832CA6">
        <w:rPr>
          <w:rFonts w:ascii="Calibri" w:eastAsia="Calibri" w:hAnsi="Calibri" w:cs="Times New Roman"/>
          <w:color w:val="1A171B"/>
          <w:sz w:val="20"/>
        </w:rPr>
        <w:t>toires</w:t>
      </w:r>
      <w:r w:rsidR="00E73FCA">
        <w:rPr>
          <w:rFonts w:ascii="Calibri" w:eastAsia="Calibri" w:hAnsi="Calibri" w:cs="Times New Roman"/>
          <w:color w:val="1A171B"/>
          <w:sz w:val="20"/>
        </w:rPr>
        <w:t>,</w:t>
      </w:r>
      <w:r w:rsidRPr="00832CA6">
        <w:rPr>
          <w:rFonts w:ascii="Calibri" w:eastAsia="Calibri" w:hAnsi="Calibri" w:cs="Times New Roman"/>
          <w:color w:val="1A171B"/>
          <w:sz w:val="20"/>
        </w:rPr>
        <w:t xml:space="preserve"> </w:t>
      </w:r>
      <w:r>
        <w:rPr>
          <w:rFonts w:ascii="Calibri" w:eastAsia="Calibri" w:hAnsi="Calibri" w:cs="Times New Roman"/>
          <w:color w:val="1A171B"/>
          <w:sz w:val="20"/>
        </w:rPr>
        <w:t xml:space="preserve">des </w:t>
      </w:r>
      <w:r w:rsidRPr="00F16B51">
        <w:rPr>
          <w:rFonts w:ascii="Calibri" w:eastAsia="Calibri" w:hAnsi="Calibri" w:cs="Times New Roman"/>
          <w:color w:val="1A171B"/>
          <w:sz w:val="20"/>
        </w:rPr>
        <w:t>indicateurs de résultats</w:t>
      </w:r>
      <w:r>
        <w:rPr>
          <w:rFonts w:ascii="Calibri" w:eastAsia="Calibri" w:hAnsi="Calibri" w:cs="Times New Roman"/>
          <w:color w:val="1A171B"/>
          <w:sz w:val="20"/>
        </w:rPr>
        <w:t xml:space="preserve"> pourraient être intégrés.</w:t>
      </w:r>
    </w:p>
    <w:p w14:paraId="21C21331" w14:textId="4B76BBEE" w:rsidR="009A15C8" w:rsidRPr="009A15C8" w:rsidRDefault="009A15C8" w:rsidP="00B40570">
      <w:pPr>
        <w:pStyle w:val="Titre4"/>
      </w:pPr>
      <w:bookmarkStart w:id="463" w:name="_Toc518935644"/>
      <w:bookmarkStart w:id="464" w:name="_Toc518935645"/>
      <w:bookmarkStart w:id="465" w:name="_Toc518935646"/>
      <w:bookmarkStart w:id="466" w:name="_Toc518935647"/>
      <w:bookmarkStart w:id="467" w:name="_Toc523327706"/>
      <w:bookmarkEnd w:id="463"/>
      <w:bookmarkEnd w:id="464"/>
      <w:bookmarkEnd w:id="465"/>
      <w:bookmarkEnd w:id="466"/>
      <w:r w:rsidRPr="009A15C8">
        <w:t xml:space="preserve">Au niveau </w:t>
      </w:r>
      <w:r w:rsidR="002F7D6A">
        <w:t>r</w:t>
      </w:r>
      <w:r w:rsidRPr="009A15C8">
        <w:t>égional</w:t>
      </w:r>
      <w:bookmarkEnd w:id="467"/>
      <w:r w:rsidRPr="009A15C8">
        <w:t> </w:t>
      </w:r>
    </w:p>
    <w:p w14:paraId="2D66FECA" w14:textId="5C4FD301" w:rsidR="009A15C8" w:rsidRPr="009A15C8" w:rsidRDefault="009A15C8" w:rsidP="009A15C8">
      <w:pPr>
        <w:pStyle w:val="Corpsdetexte"/>
      </w:pPr>
      <w:r w:rsidRPr="009A15C8">
        <w:t xml:space="preserve">L’accès à la prévention et aux soins primaires des </w:t>
      </w:r>
      <w:r w:rsidR="00E73FCA">
        <w:t xml:space="preserve">personnes </w:t>
      </w:r>
      <w:r w:rsidR="00891A0B">
        <w:t xml:space="preserve">en situation de </w:t>
      </w:r>
      <w:r w:rsidR="00E73FCA">
        <w:t xml:space="preserve">handicap </w:t>
      </w:r>
      <w:r w:rsidRPr="009A15C8">
        <w:t xml:space="preserve">et </w:t>
      </w:r>
      <w:r w:rsidR="00E73FCA">
        <w:t xml:space="preserve">des </w:t>
      </w:r>
      <w:r w:rsidRPr="009A15C8">
        <w:t>personnes en excl</w:t>
      </w:r>
      <w:r w:rsidRPr="009A15C8">
        <w:t>u</w:t>
      </w:r>
      <w:r w:rsidRPr="009A15C8">
        <w:t>sion doit être identifié, être suivi et évalué en prenant en compte les spécificités des territoires dans :</w:t>
      </w:r>
    </w:p>
    <w:p w14:paraId="634969DE" w14:textId="77777777" w:rsidR="009A15C8" w:rsidRPr="009A15C8" w:rsidRDefault="009A15C8" w:rsidP="00B40570">
      <w:pPr>
        <w:pStyle w:val="Listecontinue"/>
      </w:pPr>
      <w:r w:rsidRPr="009A15C8">
        <w:t xml:space="preserve"> le projet régional de santé de deuxième génération 2018-2022 ;  </w:t>
      </w:r>
    </w:p>
    <w:p w14:paraId="126F455D" w14:textId="79F7B09B" w:rsidR="009A15C8" w:rsidRPr="009A15C8" w:rsidRDefault="009A15C8" w:rsidP="00B40570">
      <w:pPr>
        <w:pStyle w:val="Listecontinue"/>
      </w:pPr>
      <w:r w:rsidRPr="009A15C8">
        <w:t xml:space="preserve"> le PRAPS qui s’adresse aux populations précaires</w:t>
      </w:r>
      <w:r w:rsidR="00E73FCA">
        <w:t> ;</w:t>
      </w:r>
    </w:p>
    <w:p w14:paraId="51C4C0D9" w14:textId="7CC03BA6" w:rsidR="009A15C8" w:rsidRPr="009A15C8" w:rsidRDefault="009A15C8" w:rsidP="00B40570">
      <w:pPr>
        <w:pStyle w:val="Listecontinue"/>
      </w:pPr>
      <w:r w:rsidRPr="009A15C8">
        <w:t xml:space="preserve"> les pôles régionaux de compétences</w:t>
      </w:r>
      <w:r w:rsidR="00E73FCA">
        <w:t>.</w:t>
      </w:r>
      <w:r w:rsidRPr="009A15C8">
        <w:t xml:space="preserve"> </w:t>
      </w:r>
    </w:p>
    <w:p w14:paraId="04272A4A" w14:textId="18D785FA" w:rsidR="009A15C8" w:rsidRPr="009A15C8" w:rsidRDefault="009A15C8" w:rsidP="00B40570">
      <w:pPr>
        <w:pStyle w:val="Titre4"/>
      </w:pPr>
      <w:bookmarkStart w:id="468" w:name="_Toc523327707"/>
      <w:r w:rsidRPr="009A15C8">
        <w:t>Au niveau national</w:t>
      </w:r>
      <w:bookmarkEnd w:id="468"/>
      <w:r w:rsidRPr="009A15C8">
        <w:t xml:space="preserve"> </w:t>
      </w:r>
    </w:p>
    <w:p w14:paraId="6D8E0A1C" w14:textId="1A918EA6" w:rsidR="009A15C8" w:rsidRPr="009A15C8" w:rsidRDefault="00A93FEE" w:rsidP="009A15C8">
      <w:pPr>
        <w:pStyle w:val="Corpsdetexte"/>
      </w:pPr>
      <w:r>
        <w:t>L</w:t>
      </w:r>
      <w:r w:rsidR="009A15C8" w:rsidRPr="009A15C8">
        <w:t>e pilotage des objectifs, le suivi des résultats, l’identification des difficultés et des adaptations est indispensable. L’absence de coordination et de pilotage de la santé des personnes</w:t>
      </w:r>
      <w:r w:rsidR="00116215">
        <w:t xml:space="preserve"> en situation de</w:t>
      </w:r>
      <w:r w:rsidR="009A15C8" w:rsidRPr="009A15C8">
        <w:t xml:space="preserve"> handicap nous a </w:t>
      </w:r>
      <w:r w:rsidR="00144978" w:rsidRPr="009A15C8">
        <w:t>frappés</w:t>
      </w:r>
      <w:r w:rsidR="009A15C8" w:rsidRPr="009A15C8">
        <w:t xml:space="preserve"> tout au long des auditions et de nos travaux.</w:t>
      </w:r>
    </w:p>
    <w:p w14:paraId="7D26BAF8" w14:textId="5D32891F" w:rsidR="00F43D59" w:rsidRDefault="009A15C8" w:rsidP="00F43D59">
      <w:pPr>
        <w:pStyle w:val="Corpsdetexte"/>
      </w:pPr>
      <w:r w:rsidRPr="009A15C8">
        <w:t>Nous préconisons que dans le cadre d’une approche universelle de la santé, il apparait naturel que, comme pour la santé des personnes en exclusion, la CNAM, en lien avec la CNSA, les directions du ministère et la HAS</w:t>
      </w:r>
      <w:r w:rsidR="00B67086">
        <w:t>,</w:t>
      </w:r>
      <w:r w:rsidRPr="009A15C8">
        <w:t xml:space="preserve"> s’implique et r</w:t>
      </w:r>
      <w:r w:rsidR="00A93FEE">
        <w:t>evendique cette responsabilité.</w:t>
      </w:r>
    </w:p>
    <w:p w14:paraId="51DFC463" w14:textId="5365056D" w:rsidR="00790889" w:rsidRPr="00991752" w:rsidRDefault="00790889" w:rsidP="00991752">
      <w:pPr>
        <w:pStyle w:val="EncadreCorpsdeTexte"/>
      </w:pPr>
      <w:r w:rsidRPr="004C7A56">
        <w:t xml:space="preserve">Proposition </w:t>
      </w:r>
      <w:r w:rsidR="0071538C" w:rsidRPr="004C7A56">
        <w:t>n°</w:t>
      </w:r>
      <w:r w:rsidRPr="004C7A56">
        <w:t>3</w:t>
      </w:r>
      <w:r w:rsidR="00310C91">
        <w:t>8</w:t>
      </w:r>
      <w:r w:rsidRPr="004C7A56">
        <w:t xml:space="preserve"> : </w:t>
      </w:r>
      <w:r w:rsidR="004C7A56">
        <w:t>Affirmer</w:t>
      </w:r>
      <w:r w:rsidRPr="004C7A56">
        <w:t xml:space="preserve"> le r</w:t>
      </w:r>
      <w:r w:rsidR="004C7A56" w:rsidRPr="004C7A56">
        <w:t>ô</w:t>
      </w:r>
      <w:r w:rsidRPr="004C7A56">
        <w:t xml:space="preserve">le de la CNAM dans le pilotage national de la santé des </w:t>
      </w:r>
      <w:r w:rsidR="00B67086">
        <w:t xml:space="preserve">personnes </w:t>
      </w:r>
      <w:r w:rsidR="001C616D">
        <w:t>en situ</w:t>
      </w:r>
      <w:r w:rsidR="001C616D">
        <w:t>a</w:t>
      </w:r>
      <w:r w:rsidR="001C616D">
        <w:t xml:space="preserve">tion de </w:t>
      </w:r>
      <w:r w:rsidR="00B67086">
        <w:t>handicap</w:t>
      </w:r>
    </w:p>
    <w:p w14:paraId="107DF364" w14:textId="77777777" w:rsidR="00790889" w:rsidRDefault="00790889" w:rsidP="00F43D59">
      <w:pPr>
        <w:pStyle w:val="Corpsdetexte"/>
      </w:pPr>
    </w:p>
    <w:p w14:paraId="6F4CEF4F" w14:textId="74BE0B8B" w:rsidR="00B35805" w:rsidRPr="00B35805" w:rsidRDefault="00B35805" w:rsidP="00B35805">
      <w:pPr>
        <w:pStyle w:val="Titre3"/>
      </w:pPr>
      <w:bookmarkStart w:id="469" w:name="_Toc518750577"/>
      <w:bookmarkStart w:id="470" w:name="_Toc523327708"/>
      <w:r w:rsidRPr="00B35805">
        <w:t>Instaurer une démocratie sanitaire effective</w:t>
      </w:r>
      <w:bookmarkEnd w:id="469"/>
      <w:bookmarkEnd w:id="470"/>
      <w:r w:rsidRPr="00B35805">
        <w:t xml:space="preserve"> </w:t>
      </w:r>
    </w:p>
    <w:p w14:paraId="75858EED" w14:textId="77777777" w:rsidR="00B35805" w:rsidRPr="00B35805" w:rsidRDefault="00B35805" w:rsidP="00D856C3">
      <w:pPr>
        <w:pStyle w:val="Titre4"/>
      </w:pPr>
      <w:bookmarkStart w:id="471" w:name="_Toc518750578"/>
      <w:bookmarkStart w:id="472" w:name="_Toc523327709"/>
      <w:r w:rsidRPr="00B35805">
        <w:t>Développer les mesures de satisfaction</w:t>
      </w:r>
      <w:bookmarkEnd w:id="471"/>
      <w:bookmarkEnd w:id="472"/>
    </w:p>
    <w:p w14:paraId="1FC90339" w14:textId="6A107688" w:rsidR="009E7589" w:rsidRDefault="009E7589" w:rsidP="00C0076B">
      <w:pPr>
        <w:pStyle w:val="Corpsdetexte"/>
      </w:pPr>
      <w:r>
        <w:t>Comprendre et analyser l’avis des usagers sur leur possibilité d’accès aux soins curatifs et préventifs, sur l’écoute et l’attitude des différents professionnels, sur leur parcours de santé et leur accompagnement, leur satisfaction par rapport aux résultats qu’ils atten</w:t>
      </w:r>
      <w:r w:rsidR="00B67086">
        <w:t>d</w:t>
      </w:r>
      <w:r>
        <w:t>ent…est nécessaire. L’analyse des enquêtes actuelles ne fait pas apparaître suff</w:t>
      </w:r>
      <w:r>
        <w:t>i</w:t>
      </w:r>
      <w:r>
        <w:t xml:space="preserve">samment la prise en compte de ces dimensions. Il est impératif d’intégrer celles-ci dans </w:t>
      </w:r>
      <w:r w:rsidRPr="009778C8">
        <w:t>le</w:t>
      </w:r>
      <w:r>
        <w:t xml:space="preserve"> contenu des</w:t>
      </w:r>
      <w:r w:rsidRPr="009778C8">
        <w:t xml:space="preserve"> e</w:t>
      </w:r>
      <w:r w:rsidRPr="009778C8">
        <w:t>n</w:t>
      </w:r>
      <w:r w:rsidRPr="009778C8">
        <w:t>quêtes de satisfaction</w:t>
      </w:r>
      <w:r w:rsidR="00B67086">
        <w:t>,</w:t>
      </w:r>
      <w:r>
        <w:t xml:space="preserve"> tant dans les établissements sanitaires que médico-sociaux. Les modalités de réalisation sont à adapter aux spécificités et capacités. </w:t>
      </w:r>
    </w:p>
    <w:p w14:paraId="7D8D758C" w14:textId="3174F499" w:rsidR="009E7589" w:rsidRPr="009778C8" w:rsidRDefault="009E7589" w:rsidP="00C0076B">
      <w:pPr>
        <w:pStyle w:val="EncadreCorpsdeTexte"/>
      </w:pPr>
      <w:r>
        <w:t>Proposition</w:t>
      </w:r>
      <w:r w:rsidR="0071538C">
        <w:t xml:space="preserve"> n°3</w:t>
      </w:r>
      <w:r w:rsidR="00310C91">
        <w:t>9</w:t>
      </w:r>
      <w:r w:rsidR="0071538C">
        <w:t> </w:t>
      </w:r>
      <w:r w:rsidR="00144978">
        <w:t xml:space="preserve">: </w:t>
      </w:r>
      <w:r w:rsidR="00144978" w:rsidRPr="009778C8">
        <w:t>Repenser</w:t>
      </w:r>
      <w:r>
        <w:t xml:space="preserve"> les enquêtes de satisfaction dans une </w:t>
      </w:r>
      <w:r w:rsidRPr="009778C8">
        <w:t>approche usage et projet personnel dont la santé et la prévention</w:t>
      </w:r>
      <w:r w:rsidR="00B67086">
        <w:t>.</w:t>
      </w:r>
    </w:p>
    <w:p w14:paraId="36E385E1" w14:textId="77777777" w:rsidR="00B35805" w:rsidRPr="00B35805" w:rsidRDefault="00D856C3" w:rsidP="00D856C3">
      <w:pPr>
        <w:pStyle w:val="Titre4"/>
      </w:pPr>
      <w:bookmarkStart w:id="473" w:name="_Toc518935653"/>
      <w:bookmarkStart w:id="474" w:name="_Toc518750579"/>
      <w:bookmarkStart w:id="475" w:name="_Toc523327710"/>
      <w:bookmarkEnd w:id="473"/>
      <w:r>
        <w:t>Rendr</w:t>
      </w:r>
      <w:r w:rsidR="00B35805" w:rsidRPr="00B35805">
        <w:t>e les patients acteurs de leur santé</w:t>
      </w:r>
      <w:bookmarkEnd w:id="474"/>
      <w:bookmarkEnd w:id="475"/>
    </w:p>
    <w:p w14:paraId="2DD8848D" w14:textId="61E5DEF7" w:rsidR="00205FD3" w:rsidRPr="003637D0" w:rsidRDefault="00205FD3" w:rsidP="00205FD3">
      <w:pPr>
        <w:pStyle w:val="Corpsdetexte"/>
      </w:pPr>
      <w:r w:rsidRPr="003637D0">
        <w:t>Cela passe par la nécessité d</w:t>
      </w:r>
      <w:r>
        <w:t>’</w:t>
      </w:r>
      <w:r w:rsidRPr="003637D0">
        <w:t xml:space="preserve">aider </w:t>
      </w:r>
      <w:r>
        <w:t xml:space="preserve">les personnes </w:t>
      </w:r>
      <w:r w:rsidRPr="003637D0">
        <w:t>à apprécier de nouveau leur corps. En effet pour accepter de s’occuper de sa santé, il faut avoir un jugement positif de son corps et de ses capacités. Des petites victoires sur son corps sont essentielles pour se reconstruire et croire à la néce</w:t>
      </w:r>
      <w:r>
        <w:t>ssité de s’occuper de sa santé.</w:t>
      </w:r>
    </w:p>
    <w:p w14:paraId="5193D2B1" w14:textId="14A030DA" w:rsidR="00B35805" w:rsidRPr="00B35805" w:rsidRDefault="00B35805" w:rsidP="00D856C3">
      <w:pPr>
        <w:pStyle w:val="Corpsdetexte"/>
      </w:pPr>
      <w:r w:rsidRPr="00B35805">
        <w:t xml:space="preserve">Le déni des besoins de santé des personnes </w:t>
      </w:r>
      <w:r w:rsidR="00D17D7F">
        <w:t xml:space="preserve">en situation de </w:t>
      </w:r>
      <w:r w:rsidRPr="00B35805">
        <w:t>handicap et en exclusion est fréquent pour de mu</w:t>
      </w:r>
      <w:r w:rsidRPr="00B35805">
        <w:t>l</w:t>
      </w:r>
      <w:r w:rsidRPr="00B35805">
        <w:t>tiples raisons. Il est indispensable que celles-ci se réapproprient progressivement leur santé.</w:t>
      </w:r>
    </w:p>
    <w:p w14:paraId="61FBC565" w14:textId="77777777" w:rsidR="00205FD3" w:rsidRDefault="00B35805" w:rsidP="00205FD3">
      <w:pPr>
        <w:pStyle w:val="Corpsdetexte"/>
      </w:pPr>
      <w:r w:rsidRPr="00B35805">
        <w:t xml:space="preserve">L’accompagnement passe donc par le développement de l’éducation à la santé et </w:t>
      </w:r>
      <w:r w:rsidR="00FC784B">
        <w:t>la réappropriation de son corps</w:t>
      </w:r>
      <w:r w:rsidR="00FC784B" w:rsidRPr="00B35805">
        <w:t xml:space="preserve"> </w:t>
      </w:r>
      <w:r w:rsidR="00FC784B">
        <w:t xml:space="preserve">et </w:t>
      </w:r>
      <w:r w:rsidRPr="00B35805">
        <w:t>non pas uniquement l’accompagnement à la pathologie. Cela doit permettre une autonomie dans le suivi de sa propre santé.</w:t>
      </w:r>
    </w:p>
    <w:p w14:paraId="063E6C46" w14:textId="387A4571" w:rsidR="00272FCF" w:rsidRDefault="00B35805" w:rsidP="00272FCF">
      <w:pPr>
        <w:pStyle w:val="Corpsdetexte"/>
      </w:pPr>
      <w:r w:rsidRPr="00B35805">
        <w:t>Des modules spécifiques devraient être proposés dans les établissements sanitaires et sociaux, dans les établiss</w:t>
      </w:r>
      <w:r w:rsidRPr="00B35805">
        <w:t>e</w:t>
      </w:r>
      <w:r w:rsidRPr="00B35805">
        <w:t xml:space="preserve">ments sanitaires mais aussi en lien avec les plates-formes territoriales. </w:t>
      </w:r>
      <w:r w:rsidR="00B67086">
        <w:t>Cela peut passer par l</w:t>
      </w:r>
      <w:r w:rsidRPr="00B35805">
        <w:t>a production</w:t>
      </w:r>
      <w:r w:rsidR="00B67086">
        <w:t>,</w:t>
      </w:r>
      <w:r w:rsidRPr="00B35805">
        <w:t xml:space="preserve"> par l</w:t>
      </w:r>
      <w:r w:rsidR="00B67086">
        <w:t xml:space="preserve">a </w:t>
      </w:r>
      <w:r w:rsidRPr="00B35805">
        <w:t xml:space="preserve">HAS et Santé publique </w:t>
      </w:r>
      <w:r w:rsidR="00B67086">
        <w:t>France,</w:t>
      </w:r>
      <w:r w:rsidRPr="00B35805">
        <w:t xml:space="preserve"> de contenus et d’outils simples, adaptés </w:t>
      </w:r>
      <w:r w:rsidR="00FC784B">
        <w:t>et</w:t>
      </w:r>
      <w:r w:rsidR="00FC784B" w:rsidRPr="00B35805">
        <w:t xml:space="preserve"> </w:t>
      </w:r>
      <w:r w:rsidRPr="00B35805">
        <w:t>généralistes. Ils seront, après avoir été élaborés et testés auprès de ces publics, mis à la disposition de l’ensemble de ces acteurs, dont les étudiants en santé intervenant dans le cadre du service civique en santé</w:t>
      </w:r>
      <w:r w:rsidR="00FC784B">
        <w:t>.</w:t>
      </w:r>
      <w:r w:rsidR="00272FCF" w:rsidRPr="00272FCF">
        <w:t xml:space="preserve"> </w:t>
      </w:r>
    </w:p>
    <w:p w14:paraId="74300470" w14:textId="23CC6604" w:rsidR="00272FCF" w:rsidRPr="00983748" w:rsidRDefault="00272FCF" w:rsidP="00272FCF">
      <w:pPr>
        <w:pStyle w:val="Corpsdetexte"/>
      </w:pPr>
      <w:r w:rsidRPr="003637D0">
        <w:t>Nous recommandons d’innover et d’expérimenter des approches nouvelles, adaptées et construites avec les pe</w:t>
      </w:r>
      <w:r w:rsidRPr="003637D0">
        <w:t>r</w:t>
      </w:r>
      <w:r w:rsidRPr="003637D0">
        <w:t>sonnes et ce, tant pour la prévention que pour la sensibilisation aux soins primaires.</w:t>
      </w:r>
    </w:p>
    <w:p w14:paraId="6BDDDD80" w14:textId="77777777" w:rsidR="00D856C3" w:rsidRPr="00D856C3" w:rsidRDefault="00D856C3" w:rsidP="00D856C3">
      <w:pPr>
        <w:pStyle w:val="Titre4"/>
      </w:pPr>
      <w:bookmarkStart w:id="476" w:name="_Toc519513553"/>
      <w:bookmarkStart w:id="477" w:name="_Toc519513768"/>
      <w:bookmarkStart w:id="478" w:name="_Toc519514304"/>
      <w:bookmarkStart w:id="479" w:name="_Toc518935655"/>
      <w:bookmarkStart w:id="480" w:name="_Toc518935656"/>
      <w:bookmarkStart w:id="481" w:name="_Toc518935657"/>
      <w:bookmarkStart w:id="482" w:name="_Toc518750580"/>
      <w:bookmarkStart w:id="483" w:name="_Toc523327711"/>
      <w:bookmarkEnd w:id="476"/>
      <w:bookmarkEnd w:id="477"/>
      <w:bookmarkEnd w:id="478"/>
      <w:bookmarkEnd w:id="479"/>
      <w:bookmarkEnd w:id="480"/>
      <w:bookmarkEnd w:id="481"/>
      <w:r w:rsidRPr="00D856C3">
        <w:t>Consulter et impliquer les associations</w:t>
      </w:r>
      <w:bookmarkEnd w:id="482"/>
      <w:bookmarkEnd w:id="483"/>
    </w:p>
    <w:p w14:paraId="39877B4D" w14:textId="4317ED19" w:rsidR="005111AC" w:rsidRDefault="005111AC" w:rsidP="00C0076B">
      <w:pPr>
        <w:pStyle w:val="Corpsdetexte"/>
      </w:pPr>
      <w:r>
        <w:t xml:space="preserve">Si les associations représentantes des personnes en exclusion sont très revendicatrices de l’accès à la santé et aux soins primaires, nos auditions auprès de la CNAM, de la CNSA, du </w:t>
      </w:r>
      <w:r w:rsidR="00B67086">
        <w:t>D</w:t>
      </w:r>
      <w:r>
        <w:t xml:space="preserve">éfenseur des droits nous ont révélé que les réclamations de la part des associations de </w:t>
      </w:r>
      <w:r w:rsidR="00B67086">
        <w:t xml:space="preserve">personnes </w:t>
      </w:r>
      <w:r w:rsidR="00A73CF2">
        <w:t xml:space="preserve">en situation de </w:t>
      </w:r>
      <w:r w:rsidR="00B67086">
        <w:t xml:space="preserve">handicap </w:t>
      </w:r>
      <w:r>
        <w:t>étaient beaucoup plus limitées. Cela peut certes s’expliquer par les nombreuses causes défendues par celles-ci mais révèle que l’accès à la santé n’apparait pas une priorité.</w:t>
      </w:r>
    </w:p>
    <w:p w14:paraId="1D91FFEF" w14:textId="07EFB7C5" w:rsidR="005111AC" w:rsidRPr="009778C8" w:rsidRDefault="005111AC" w:rsidP="00C0076B">
      <w:pPr>
        <w:pStyle w:val="Corpsdetexte"/>
      </w:pPr>
      <w:r>
        <w:t xml:space="preserve">Le rôle des associations est pourtant majeur dans la réussite de cette ambition. Sensibiliser et </w:t>
      </w:r>
      <w:r w:rsidRPr="009778C8">
        <w:t>travailler avec les associations et le</w:t>
      </w:r>
      <w:r>
        <w:t>ur</w:t>
      </w:r>
      <w:r w:rsidRPr="009778C8">
        <w:t xml:space="preserve">s représentants </w:t>
      </w:r>
      <w:r>
        <w:t xml:space="preserve">est donc essentiel pour que la </w:t>
      </w:r>
      <w:r w:rsidRPr="009778C8">
        <w:t>santé devienne une préoccupation partagée</w:t>
      </w:r>
      <w:r>
        <w:t xml:space="preserve"> et pour aider  les personnes à s’intéresser à leur santé. </w:t>
      </w:r>
    </w:p>
    <w:p w14:paraId="051427D4" w14:textId="77777777" w:rsidR="005111AC" w:rsidRPr="009778C8" w:rsidRDefault="005111AC" w:rsidP="00C0076B">
      <w:pPr>
        <w:pStyle w:val="Corpsdetexte"/>
      </w:pPr>
      <w:r w:rsidRPr="009778C8">
        <w:t xml:space="preserve">Les personnes concernées deviennent </w:t>
      </w:r>
      <w:r>
        <w:t xml:space="preserve">ainsi </w:t>
      </w:r>
      <w:r w:rsidRPr="009778C8">
        <w:t>acteurs et demandeurs</w:t>
      </w:r>
      <w:r>
        <w:t>.</w:t>
      </w:r>
    </w:p>
    <w:p w14:paraId="7148A5BD" w14:textId="77777777" w:rsidR="002B4984" w:rsidRPr="002B4984" w:rsidRDefault="002B4984" w:rsidP="002B4984">
      <w:pPr>
        <w:pStyle w:val="Titre3"/>
      </w:pPr>
      <w:bookmarkStart w:id="484" w:name="_Toc518935660"/>
      <w:bookmarkStart w:id="485" w:name="_Toc518935661"/>
      <w:bookmarkStart w:id="486" w:name="_Toc518935662"/>
      <w:bookmarkStart w:id="487" w:name="_Toc518750581"/>
      <w:bookmarkStart w:id="488" w:name="_Toc523327712"/>
      <w:bookmarkEnd w:id="484"/>
      <w:bookmarkEnd w:id="485"/>
      <w:bookmarkEnd w:id="486"/>
      <w:r w:rsidRPr="002B4984">
        <w:lastRenderedPageBreak/>
        <w:t>Assurer un suivi et une évaluation coordonnée</w:t>
      </w:r>
      <w:bookmarkEnd w:id="487"/>
      <w:bookmarkEnd w:id="488"/>
    </w:p>
    <w:p w14:paraId="0B0B2692" w14:textId="1F7448AC" w:rsidR="002B4984" w:rsidRPr="002B4984" w:rsidRDefault="002B4984" w:rsidP="002B4984">
      <w:pPr>
        <w:pStyle w:val="Titre4"/>
      </w:pPr>
      <w:bookmarkStart w:id="489" w:name="_Toc518750582"/>
      <w:bookmarkStart w:id="490" w:name="_Toc523327713"/>
      <w:r w:rsidRPr="002B4984">
        <w:t xml:space="preserve">Un observatoire de </w:t>
      </w:r>
      <w:r w:rsidR="00B23554">
        <w:t>la</w:t>
      </w:r>
      <w:r w:rsidRPr="002B4984">
        <w:t xml:space="preserve"> santé des </w:t>
      </w:r>
      <w:bookmarkEnd w:id="489"/>
      <w:r w:rsidR="00B9039D">
        <w:t xml:space="preserve">personnes </w:t>
      </w:r>
      <w:r w:rsidR="00B667DD">
        <w:t xml:space="preserve">en situation de </w:t>
      </w:r>
      <w:r w:rsidR="00B9039D">
        <w:t>handicap</w:t>
      </w:r>
      <w:bookmarkEnd w:id="490"/>
    </w:p>
    <w:p w14:paraId="502198DC" w14:textId="320B1764" w:rsidR="00422C23" w:rsidRDefault="00422C23" w:rsidP="00422C23">
      <w:pPr>
        <w:pStyle w:val="Corpsdetexte"/>
        <w:rPr>
          <w:lang w:eastAsia="fr-FR"/>
        </w:rPr>
      </w:pPr>
      <w:r>
        <w:rPr>
          <w:lang w:eastAsia="fr-FR"/>
        </w:rPr>
        <w:t xml:space="preserve">Nos auditions ont révélé l’absence de consensus de nos interlocuteurs sur le champ que </w:t>
      </w:r>
      <w:r w:rsidR="00144978">
        <w:rPr>
          <w:lang w:eastAsia="fr-FR"/>
        </w:rPr>
        <w:t>recouvrent</w:t>
      </w:r>
      <w:r>
        <w:rPr>
          <w:lang w:eastAsia="fr-FR"/>
        </w:rPr>
        <w:t xml:space="preserve"> les personnes </w:t>
      </w:r>
      <w:r w:rsidR="00B667DD">
        <w:rPr>
          <w:lang w:eastAsia="fr-FR"/>
        </w:rPr>
        <w:t>en situation de handicap</w:t>
      </w:r>
      <w:r>
        <w:rPr>
          <w:lang w:eastAsia="fr-FR"/>
        </w:rPr>
        <w:t>, les liens entre les reconnaissances des MDPH et les pathologies sources potentielles de handicap</w:t>
      </w:r>
      <w:r w:rsidR="00B67086">
        <w:rPr>
          <w:lang w:eastAsia="fr-FR"/>
        </w:rPr>
        <w:t>,</w:t>
      </w:r>
      <w:r>
        <w:rPr>
          <w:lang w:eastAsia="fr-FR"/>
        </w:rPr>
        <w:t xml:space="preserve"> notamment les personnes en ALD. Cela complique considérablement l’analyse des besoins, des co</w:t>
      </w:r>
      <w:r>
        <w:rPr>
          <w:lang w:eastAsia="fr-FR"/>
        </w:rPr>
        <w:t>n</w:t>
      </w:r>
      <w:r>
        <w:rPr>
          <w:lang w:eastAsia="fr-FR"/>
        </w:rPr>
        <w:t>sommations de soins</w:t>
      </w:r>
      <w:r w:rsidR="00E95A5A">
        <w:rPr>
          <w:lang w:eastAsia="fr-FR"/>
        </w:rPr>
        <w:t>, etc.</w:t>
      </w:r>
    </w:p>
    <w:p w14:paraId="45D35986" w14:textId="4C5E201C" w:rsidR="002B4984" w:rsidRPr="002B4984" w:rsidRDefault="00D81FC5" w:rsidP="00422C23">
      <w:pPr>
        <w:pStyle w:val="Corpsdetexte"/>
      </w:pPr>
      <w:r>
        <w:t>De mê</w:t>
      </w:r>
      <w:r w:rsidR="00422C23">
        <w:t>me, l</w:t>
      </w:r>
      <w:r w:rsidR="002B4984" w:rsidRPr="002B4984">
        <w:t>es travaux et publications concernant l’état de santé des personnes en situation de handicap sont peu nombreux qu’il s’agisse des besoins en soins somatiques et spécifiques, des difficultés d’accès aux soins, des ru</w:t>
      </w:r>
      <w:r w:rsidR="002B4984" w:rsidRPr="002B4984">
        <w:t>p</w:t>
      </w:r>
      <w:r w:rsidR="002B4984" w:rsidRPr="002B4984">
        <w:t>tures dans le parcours de santé et le parcours médico-social. Cette pauvreté d’informations explique en partie le manque de reconnaissance du besoin et de l’accès à la santé des personnes handicapées mais aussi la difficulté de mobiliser les acteurs.</w:t>
      </w:r>
    </w:p>
    <w:p w14:paraId="581E4325" w14:textId="77A08506" w:rsidR="002B4984" w:rsidRPr="002B4984" w:rsidRDefault="002B4984" w:rsidP="002B4984">
      <w:pPr>
        <w:pStyle w:val="Corpsdetexte"/>
      </w:pPr>
      <w:r w:rsidRPr="002B4984">
        <w:t>Il est donc indispensable d’initier des travaux tant rétrospectifs que prospectifs sur l’état de santé de cette popul</w:t>
      </w:r>
      <w:r w:rsidRPr="002B4984">
        <w:t>a</w:t>
      </w:r>
      <w:r w:rsidRPr="002B4984">
        <w:t>tion. Le développement de la base de données Resid-PH est un outil essentiel. Les liens avec les informations médico-sociales pour analyser dans sa globalité le parcours d’une personne handicapée et mesurer notamment l’impact de la santé et ses ruptures sur le recours aux activités médico-sociales</w:t>
      </w:r>
      <w:r w:rsidR="00B67086">
        <w:t xml:space="preserve"> sont</w:t>
      </w:r>
      <w:r>
        <w:t xml:space="preserve"> également indispensable</w:t>
      </w:r>
      <w:r w:rsidR="00B67086">
        <w:t>s</w:t>
      </w:r>
      <w:r>
        <w:t xml:space="preserve">. </w:t>
      </w:r>
    </w:p>
    <w:p w14:paraId="725A675D" w14:textId="2EB63B79" w:rsidR="00532E45" w:rsidRPr="00532E45" w:rsidRDefault="00B67086" w:rsidP="00713CCA">
      <w:pPr>
        <w:pStyle w:val="Corpsdetexte"/>
      </w:pPr>
      <w:r>
        <w:t>Un</w:t>
      </w:r>
      <w:r w:rsidRPr="00532E45">
        <w:t xml:space="preserve"> </w:t>
      </w:r>
      <w:r w:rsidR="00532E45" w:rsidRPr="00532E45">
        <w:t xml:space="preserve">observatoire aura pour mission d’identifier les </w:t>
      </w:r>
      <w:r w:rsidR="00144978" w:rsidRPr="00532E45">
        <w:t>critères</w:t>
      </w:r>
      <w:r w:rsidR="00532E45" w:rsidRPr="00532E45">
        <w:t xml:space="preserve"> qui permettent de suivre la santé des </w:t>
      </w:r>
      <w:r>
        <w:t xml:space="preserve">personnes </w:t>
      </w:r>
      <w:r w:rsidR="00FB242C">
        <w:t>en s</w:t>
      </w:r>
      <w:r w:rsidR="00FB242C">
        <w:t>i</w:t>
      </w:r>
      <w:r w:rsidR="00FB242C">
        <w:t xml:space="preserve">tuation de </w:t>
      </w:r>
      <w:r>
        <w:t>handicap</w:t>
      </w:r>
      <w:r w:rsidRPr="00532E45">
        <w:t xml:space="preserve"> </w:t>
      </w:r>
      <w:r w:rsidR="00532E45" w:rsidRPr="00532E45">
        <w:t>(</w:t>
      </w:r>
      <w:r w:rsidR="001C616D">
        <w:t xml:space="preserve">par exemple </w:t>
      </w:r>
      <w:r w:rsidR="00532E45" w:rsidRPr="001C616D">
        <w:t>certaines ALD</w:t>
      </w:r>
      <w:r w:rsidRPr="00405B88">
        <w:t>) et</w:t>
      </w:r>
      <w:r w:rsidR="00532E45" w:rsidRPr="00532E45">
        <w:t xml:space="preserve"> les prestations accordées par les MDPH (AAH, PCH</w:t>
      </w:r>
      <w:r w:rsidR="00E95A5A">
        <w:t xml:space="preserve"> et</w:t>
      </w:r>
      <w:r w:rsidR="00532E45" w:rsidRPr="00532E45">
        <w:t xml:space="preserve"> autres), d’analyser l’impact de la mise en place des mesures de ce rapport, de suivre l’état de santé des </w:t>
      </w:r>
      <w:r>
        <w:t>personnes</w:t>
      </w:r>
      <w:r w:rsidR="00532E45" w:rsidRPr="00532E45">
        <w:t>, de comparer avec la population générale, de promouvoir ces résultats et de faire des recommandations.</w:t>
      </w:r>
    </w:p>
    <w:p w14:paraId="2F4BAFD9" w14:textId="77777777" w:rsidR="002B4984" w:rsidRPr="002B4984" w:rsidRDefault="002B4984" w:rsidP="002B4984">
      <w:pPr>
        <w:pStyle w:val="Corpsdetexte"/>
      </w:pPr>
      <w:r w:rsidRPr="002B4984">
        <w:t>Il peut s’appuyer dès 2019 sur l’utilisation des données de Resid-PH qui devra être généralisé en 2019 et devra produire des indicateurs à la fois locaux, régionaux et nationaux.</w:t>
      </w:r>
    </w:p>
    <w:p w14:paraId="05A5E430" w14:textId="728FBBAC" w:rsidR="002B4984" w:rsidRDefault="002B4984" w:rsidP="002B4984">
      <w:pPr>
        <w:pStyle w:val="Corpsdetexte"/>
      </w:pPr>
      <w:r w:rsidRPr="002B4984">
        <w:t xml:space="preserve">Il devra accélérer les liens entre les bases de données CNAM et CNSA avec un objectif d’opérationnalité à court terme : </w:t>
      </w:r>
      <w:r w:rsidR="00532E45">
        <w:t>c</w:t>
      </w:r>
      <w:r w:rsidRPr="002B4984">
        <w:t>alendrier et objectifs à définir avant fin 2018</w:t>
      </w:r>
      <w:r w:rsidR="00532E45">
        <w:t>.</w:t>
      </w:r>
      <w:r w:rsidRPr="002B4984">
        <w:t xml:space="preserve">   </w:t>
      </w:r>
    </w:p>
    <w:p w14:paraId="4D64F2FC" w14:textId="46163689" w:rsidR="00B23554" w:rsidRPr="002B4984" w:rsidRDefault="00B23554" w:rsidP="00B23554">
      <w:pPr>
        <w:pStyle w:val="EncadreCorpsdeTexte"/>
      </w:pPr>
      <w:r w:rsidRPr="002B4984">
        <w:t>Proposition n°</w:t>
      </w:r>
      <w:r w:rsidR="00310C91">
        <w:t>40</w:t>
      </w:r>
      <w:r w:rsidRPr="002B4984">
        <w:t xml:space="preserve"> : </w:t>
      </w:r>
      <w:r w:rsidR="00B67086">
        <w:t>C</w:t>
      </w:r>
      <w:r w:rsidRPr="002B4984">
        <w:t xml:space="preserve">réer un observatoire  de </w:t>
      </w:r>
      <w:r w:rsidR="00122D45">
        <w:t xml:space="preserve">la </w:t>
      </w:r>
      <w:r w:rsidRPr="002B4984">
        <w:t>santé</w:t>
      </w:r>
      <w:r w:rsidR="00122D45">
        <w:t xml:space="preserve"> et de l’accès aux soins</w:t>
      </w:r>
      <w:r w:rsidRPr="002B4984">
        <w:t xml:space="preserve"> des personnes </w:t>
      </w:r>
      <w:r w:rsidR="00FB242C">
        <w:t xml:space="preserve">en situation de </w:t>
      </w:r>
      <w:r w:rsidRPr="002B4984">
        <w:t>handicap qui devrait regrouper l’ensemble des institutions impliquées : la CNAM, la CNSA (et son conseil scientifique), la HAS, le conseil national consultatif des personnes handicapées</w:t>
      </w:r>
      <w:r>
        <w:t>, les représentants des dépa</w:t>
      </w:r>
      <w:r>
        <w:t>r</w:t>
      </w:r>
      <w:r>
        <w:t>tements.</w:t>
      </w:r>
    </w:p>
    <w:p w14:paraId="482FBC6F" w14:textId="5D371244" w:rsidR="002B4984" w:rsidRPr="002B4984" w:rsidRDefault="002B4984" w:rsidP="00A140A1">
      <w:pPr>
        <w:pStyle w:val="Titre4"/>
      </w:pPr>
      <w:bookmarkStart w:id="491" w:name="_Toc517957839"/>
      <w:bookmarkStart w:id="492" w:name="_Toc518750583"/>
      <w:bookmarkStart w:id="493" w:name="_Toc523327714"/>
      <w:r w:rsidRPr="002B4984">
        <w:t>Développer un observatoire de l’accès au droit et à la santé des migrants précaires</w:t>
      </w:r>
      <w:bookmarkEnd w:id="491"/>
      <w:bookmarkEnd w:id="492"/>
      <w:bookmarkEnd w:id="493"/>
    </w:p>
    <w:p w14:paraId="6A5CD499" w14:textId="24C49525" w:rsidR="002B4984" w:rsidRPr="002B4984" w:rsidRDefault="002B4984" w:rsidP="002B4984">
      <w:pPr>
        <w:pStyle w:val="Corpsdetexte"/>
      </w:pPr>
      <w:r w:rsidRPr="002B4984">
        <w:t>La connaissance des personnes étrangères en situation irrégulière et de leur état de santé est un enjeu de santé publique, qu’il s’agisse de la connaissance des personnes qui pourraient avoir accès à l’</w:t>
      </w:r>
      <w:r w:rsidR="00B67086">
        <w:t>AME</w:t>
      </w:r>
      <w:r w:rsidRPr="002B4984">
        <w:t xml:space="preserve"> comme de c</w:t>
      </w:r>
      <w:r w:rsidR="00A140A1">
        <w:t xml:space="preserve">elles qui en bénéficient déjà. </w:t>
      </w:r>
    </w:p>
    <w:p w14:paraId="0654EF77" w14:textId="491BA4F1" w:rsidR="002B4984" w:rsidRPr="002B4984" w:rsidRDefault="002B4984" w:rsidP="002B4984">
      <w:pPr>
        <w:pStyle w:val="Corpsdetexte"/>
      </w:pPr>
      <w:r w:rsidRPr="002B4984">
        <w:t>Or, aucun dispositif national de suivi, d’enquête ou d’évaluation n’est prévu, ce qui concoure à entretenir une ign</w:t>
      </w:r>
      <w:r w:rsidRPr="002B4984">
        <w:t>o</w:t>
      </w:r>
      <w:r w:rsidRPr="002B4984">
        <w:t>rance favorable à la construction de préjugés sur la prise en charge de cette population par le système de soins français.</w:t>
      </w:r>
      <w:r w:rsidR="00A140A1">
        <w:t xml:space="preserve"> </w:t>
      </w:r>
    </w:p>
    <w:p w14:paraId="037361B4" w14:textId="3664C85A" w:rsidR="002B4984" w:rsidRPr="002B4984" w:rsidRDefault="002B4984" w:rsidP="002B4984">
      <w:pPr>
        <w:pStyle w:val="Corpsdetexte"/>
      </w:pPr>
      <w:r w:rsidRPr="002B4984">
        <w:t>Cette population mouvante est certes difficile à quantifier avec précision, elle ne fait cependant pas l’objet d’investissements publics en matière de suivi (aucune étude régulière nationale). Quelques données ou études sont rendues publiques au cas par cas, par les acteurs qui accompagnent les personnes (associations, collectivités territoriales,</w:t>
      </w:r>
      <w:r w:rsidR="000534F4">
        <w:t xml:space="preserve"> etc.)</w:t>
      </w:r>
      <w:r w:rsidRPr="002B4984">
        <w:t xml:space="preserve"> ou lors de l’élaboration de rapports traitant de l’accès aux soins et à la santé des étrangers en situation irrégulière. Les enquêtes réalisées donnent un éclairage incomplet </w:t>
      </w:r>
      <w:r w:rsidR="00144978" w:rsidRPr="002B4984">
        <w:t>puisqu’elles</w:t>
      </w:r>
      <w:r w:rsidRPr="002B4984">
        <w:t xml:space="preserve"> portent souvent sur un périmètre géographique délimité (Observatoire départemental de la direction de la stratégie, de l’</w:t>
      </w:r>
      <w:r w:rsidR="00144978" w:rsidRPr="002B4984">
        <w:t>organisation</w:t>
      </w:r>
      <w:r w:rsidRPr="002B4984">
        <w:t xml:space="preserve"> et de l’évaluation du département de Seine saint </w:t>
      </w:r>
      <w:r w:rsidR="00144978" w:rsidRPr="002B4984">
        <w:t>Denis</w:t>
      </w:r>
      <w:r w:rsidRPr="002B4984">
        <w:t>, observatoire parisien de lutte contre l’exclusion</w:t>
      </w:r>
      <w:r w:rsidR="00E95A5A">
        <w:t xml:space="preserve"> etc.</w:t>
      </w:r>
      <w:r w:rsidRPr="002B4984">
        <w:t>).</w:t>
      </w:r>
    </w:p>
    <w:p w14:paraId="7C77F614" w14:textId="66F278D5" w:rsidR="002B4984" w:rsidRPr="002B4984" w:rsidRDefault="002B4984" w:rsidP="002B4984">
      <w:pPr>
        <w:pStyle w:val="Corpsdetexte"/>
      </w:pPr>
      <w:r w:rsidRPr="002B4984">
        <w:lastRenderedPageBreak/>
        <w:t>La CNAM, gestionnaire de l’AME pour le compte de l’Etat, dispose pourtant de données détaillées sur les bénéf</w:t>
      </w:r>
      <w:r w:rsidRPr="002B4984">
        <w:t>i</w:t>
      </w:r>
      <w:r w:rsidRPr="002B4984">
        <w:t>ciaires de l’AME qui nous ont été transmises dans le cadre de la présente mission. Synthétisées en annexe du rapport (</w:t>
      </w:r>
      <w:r w:rsidRPr="00EA1EEF">
        <w:rPr>
          <w:i/>
        </w:rPr>
        <w:t>cf.</w:t>
      </w:r>
      <w:r w:rsidRPr="002B4984">
        <w:t xml:space="preserve"> annexe </w:t>
      </w:r>
      <w:r w:rsidR="00AE77FA">
        <w:t>9</w:t>
      </w:r>
      <w:r w:rsidRPr="002B4984">
        <w:t>), ces données permettent de montrer que les effectifs de bénéficiaires ont diminué de près de 6% entre 2015 et 2017 en métropole, que cette population est beaucoup plus jeune que la population française et que le profil de sa consommation de soins est également atypique. En ce qui concerne les soins de ville, les b</w:t>
      </w:r>
      <w:r w:rsidRPr="002B4984">
        <w:t>é</w:t>
      </w:r>
      <w:r w:rsidRPr="002B4984">
        <w:t xml:space="preserve">néficiaires de l’AME consomment principalement des médicaments (près de la moitié des dépenses remboursables des bénéficiaires de l’AME), les consultations médicales étant le second poste. </w:t>
      </w:r>
    </w:p>
    <w:p w14:paraId="2128463E" w14:textId="7F12817B" w:rsidR="002B4984" w:rsidRPr="002B4984" w:rsidRDefault="002B4984" w:rsidP="002B4984">
      <w:pPr>
        <w:pStyle w:val="Corpsdetexte"/>
      </w:pPr>
      <w:r w:rsidRPr="002B4984">
        <w:t xml:space="preserve">Ces données pourraient constituer la base de la construction d’un indicateur annuel de suivi des bénéficiaires de l’AME, de </w:t>
      </w:r>
      <w:r w:rsidR="00144978" w:rsidRPr="002B4984">
        <w:t>leurs caractéristiques</w:t>
      </w:r>
      <w:r w:rsidRPr="002B4984">
        <w:t xml:space="preserve"> et de leur état de santé, qui pourrait être rendu public et annexé aux projets de loi de finances, l’AME relevant du programme 183 de l’Etat relatif à la protection maladie</w:t>
      </w:r>
      <w:r w:rsidR="00A140A1">
        <w:t xml:space="preserve">. </w:t>
      </w:r>
    </w:p>
    <w:p w14:paraId="211B7E6F" w14:textId="5366F0E6" w:rsidR="002B4984" w:rsidRPr="002B4984" w:rsidRDefault="002B4984" w:rsidP="00A140A1">
      <w:pPr>
        <w:pStyle w:val="EncadreCorpsdeTexte"/>
      </w:pPr>
      <w:r w:rsidRPr="002B4984">
        <w:t>Proposition n°</w:t>
      </w:r>
      <w:r w:rsidR="00310C91">
        <w:t>41</w:t>
      </w:r>
      <w:r w:rsidRPr="002B4984">
        <w:t xml:space="preserve"> : </w:t>
      </w:r>
      <w:r w:rsidR="00563EE5">
        <w:t>C</w:t>
      </w:r>
      <w:r w:rsidR="00144978">
        <w:t>réer</w:t>
      </w:r>
      <w:r w:rsidR="00C354D5">
        <w:t xml:space="preserve"> un observatoire de l’accès aux droits et à la santé des migrants précaires</w:t>
      </w:r>
      <w:r w:rsidR="00563EE5">
        <w:t>.</w:t>
      </w:r>
    </w:p>
    <w:p w14:paraId="36CE2DDC" w14:textId="2F3476FB" w:rsidR="002B4984" w:rsidRPr="002B4984" w:rsidRDefault="002B4984" w:rsidP="002B4984">
      <w:pPr>
        <w:pStyle w:val="Corpsdetexte"/>
      </w:pPr>
      <w:r w:rsidRPr="002B4984">
        <w:t>Par ailleurs, le volume et le type de soins réalisés pour des personnes n’ayant pas accès aux soins dans le circuit conventionnel ne figurent dans aucun des documents soumis aux parlementaires. Or c’est un indicateur de la pe</w:t>
      </w:r>
      <w:r w:rsidRPr="002B4984">
        <w:t>r</w:t>
      </w:r>
      <w:r w:rsidRPr="002B4984">
        <w:t xml:space="preserve">formance globale de notre système de santé. Les soins gratuits prodigués par les associations humanitaires sur le territoire (CASO, Accueils santé social, Centres Médecins sans frontières, etc.) ainsi que ceux prodigués dans le cadre des </w:t>
      </w:r>
      <w:r w:rsidR="00563EE5">
        <w:t>PASS</w:t>
      </w:r>
      <w:r w:rsidRPr="002B4984">
        <w:t xml:space="preserve"> ne sont pas observés, rendant « invisibles » les points de ruptures de notre système de santé. </w:t>
      </w:r>
    </w:p>
    <w:p w14:paraId="39123FC8" w14:textId="0AC54358" w:rsidR="00C354D5" w:rsidRPr="00036FBE" w:rsidRDefault="002B4984" w:rsidP="00713CCA">
      <w:pPr>
        <w:pStyle w:val="EncadreCorpsdeTexte"/>
      </w:pPr>
      <w:r w:rsidRPr="002B4984">
        <w:t>Proposition n°</w:t>
      </w:r>
      <w:r w:rsidR="00310C91">
        <w:t>42</w:t>
      </w:r>
      <w:r w:rsidRPr="002B4984">
        <w:t xml:space="preserve"> : </w:t>
      </w:r>
      <w:r w:rsidR="00563EE5">
        <w:t>F</w:t>
      </w:r>
      <w:r w:rsidR="00C354D5">
        <w:t xml:space="preserve">ournir annuellement </w:t>
      </w:r>
      <w:r w:rsidR="00C354D5" w:rsidRPr="00036FBE">
        <w:t xml:space="preserve">au </w:t>
      </w:r>
      <w:r w:rsidR="00C354D5">
        <w:t>P</w:t>
      </w:r>
      <w:r w:rsidR="00C354D5" w:rsidRPr="00036FBE">
        <w:t xml:space="preserve">arlement </w:t>
      </w:r>
      <w:r w:rsidR="00C354D5">
        <w:t xml:space="preserve">des </w:t>
      </w:r>
      <w:r w:rsidR="00C354D5" w:rsidRPr="00036FBE">
        <w:t xml:space="preserve">indicateurs relatifs </w:t>
      </w:r>
      <w:r w:rsidR="00C354D5">
        <w:t>à l’accès à la santé des pe</w:t>
      </w:r>
      <w:r w:rsidR="00C354D5">
        <w:t>r</w:t>
      </w:r>
      <w:r w:rsidR="00C354D5">
        <w:t>sonnes en situation de handicap et en situation de précarité</w:t>
      </w:r>
      <w:r w:rsidR="00563EE5">
        <w:t>.</w:t>
      </w:r>
      <w:r w:rsidR="00CC468C">
        <w:t xml:space="preserve"> </w:t>
      </w:r>
    </w:p>
    <w:p w14:paraId="176B697C" w14:textId="77777777" w:rsidR="002B4984" w:rsidRPr="002B4984" w:rsidRDefault="002B4984" w:rsidP="002B4984">
      <w:pPr>
        <w:pStyle w:val="Corpsdetexte"/>
      </w:pPr>
    </w:p>
    <w:p w14:paraId="0E54A89A" w14:textId="476CFF5C" w:rsidR="00F34FD4" w:rsidRDefault="00F34FD4" w:rsidP="00852470">
      <w:pPr>
        <w:pStyle w:val="Sous-Titre4"/>
      </w:pPr>
      <w:bookmarkStart w:id="494" w:name="_Toc523327715"/>
      <w:r>
        <w:lastRenderedPageBreak/>
        <w:t>Conclusion</w:t>
      </w:r>
      <w:bookmarkEnd w:id="494"/>
    </w:p>
    <w:p w14:paraId="5F349342" w14:textId="77777777" w:rsidR="00F34FD4" w:rsidRDefault="00F34FD4" w:rsidP="00F34FD4">
      <w:pPr>
        <w:pStyle w:val="Corpsdetexte"/>
      </w:pPr>
    </w:p>
    <w:p w14:paraId="650E4541" w14:textId="4CB5375F" w:rsidR="00DB0048" w:rsidRDefault="00DB0048" w:rsidP="00DB0048">
      <w:pPr>
        <w:pStyle w:val="Corpsdetexte"/>
      </w:pPr>
      <w:r>
        <w:t xml:space="preserve">La santé est un pilier essentiel de l’inclusion des personnes </w:t>
      </w:r>
      <w:r w:rsidR="007E1929">
        <w:t xml:space="preserve">en situation de </w:t>
      </w:r>
      <w:r>
        <w:t>handicap et des personnes en situ</w:t>
      </w:r>
      <w:r>
        <w:t>a</w:t>
      </w:r>
      <w:r>
        <w:t>tion de précarité</w:t>
      </w:r>
      <w:r w:rsidR="00122D45">
        <w:t xml:space="preserve">. C’est également </w:t>
      </w:r>
      <w:r>
        <w:t xml:space="preserve"> un marqueur de notre société.</w:t>
      </w:r>
    </w:p>
    <w:p w14:paraId="600F1521" w14:textId="6F75CBB3" w:rsidR="00F34FD4" w:rsidRDefault="00F34FD4" w:rsidP="00F34FD4">
      <w:pPr>
        <w:pStyle w:val="Corpsdetexte"/>
      </w:pPr>
      <w:r>
        <w:t>L’ensemble de ces travaux nous ont révélé l’importance des laissés pour compte dans notre système de santé et l’absence de responsabilisation et de mobilisation collective. Ce</w:t>
      </w:r>
      <w:r w:rsidR="00DB0048">
        <w:t xml:space="preserve"> constat</w:t>
      </w:r>
      <w:r>
        <w:t xml:space="preserve"> contraste avec les efforts déployés </w:t>
      </w:r>
      <w:r w:rsidR="00DB0048">
        <w:t xml:space="preserve">par les </w:t>
      </w:r>
      <w:r>
        <w:t xml:space="preserve">acteurs de terrain qui s’épuisent dans </w:t>
      </w:r>
      <w:r w:rsidR="00DB2DDF">
        <w:t>un</w:t>
      </w:r>
      <w:r>
        <w:t xml:space="preserve"> environnement non facilitant. </w:t>
      </w:r>
    </w:p>
    <w:p w14:paraId="3DAA7346" w14:textId="4BFA48EC" w:rsidR="00F34FD4" w:rsidRDefault="00F34FD4" w:rsidP="00F34FD4">
      <w:pPr>
        <w:pStyle w:val="Corpsdetexte"/>
      </w:pPr>
      <w:r>
        <w:t>Cela nous amène à proposer</w:t>
      </w:r>
      <w:r w:rsidR="00DB0048">
        <w:t>,</w:t>
      </w:r>
      <w:r>
        <w:t xml:space="preserve"> premièrement</w:t>
      </w:r>
      <w:r w:rsidR="00DB0048">
        <w:t>,</w:t>
      </w:r>
      <w:r>
        <w:t xml:space="preserve"> l’affirmation d’un </w:t>
      </w:r>
      <w:r w:rsidRPr="00DB0048">
        <w:rPr>
          <w:b/>
        </w:rPr>
        <w:t xml:space="preserve">plan santé </w:t>
      </w:r>
      <w:r>
        <w:t xml:space="preserve">pour ces populations dans le cadre de la stratégie nationale </w:t>
      </w:r>
      <w:r w:rsidR="00144978">
        <w:t>et,</w:t>
      </w:r>
      <w:r>
        <w:t xml:space="preserve"> deuxièmement, </w:t>
      </w:r>
      <w:r w:rsidR="00DB0048">
        <w:t xml:space="preserve">que </w:t>
      </w:r>
      <w:r>
        <w:t xml:space="preserve">le gouvernement associe largement </w:t>
      </w:r>
      <w:r w:rsidRPr="00122D45">
        <w:rPr>
          <w:b/>
        </w:rPr>
        <w:t>les parlementaires</w:t>
      </w:r>
      <w:r w:rsidR="00DB0048">
        <w:t>, d’ailleurs</w:t>
      </w:r>
      <w:r>
        <w:t xml:space="preserve"> à l’origine de ce rapport</w:t>
      </w:r>
      <w:r w:rsidR="00122D45">
        <w:t>, dans le suivi de ce plan</w:t>
      </w:r>
      <w:r>
        <w:t xml:space="preserve">. </w:t>
      </w:r>
    </w:p>
    <w:p w14:paraId="2C1E1057" w14:textId="77777777" w:rsidR="00F34FD4" w:rsidRDefault="00F34FD4" w:rsidP="00F34FD4">
      <w:pPr>
        <w:pStyle w:val="Corpsdetexte"/>
      </w:pPr>
    </w:p>
    <w:p w14:paraId="0EBA6F79" w14:textId="76016B45" w:rsidR="002B4984" w:rsidRPr="002B4984" w:rsidRDefault="002B4984" w:rsidP="00713CCA">
      <w:r w:rsidRPr="002B4984">
        <w:br w:type="page"/>
      </w:r>
    </w:p>
    <w:p w14:paraId="21533BFE" w14:textId="77777777" w:rsidR="003744A1" w:rsidRDefault="00543B67" w:rsidP="00CA0594">
      <w:pPr>
        <w:pStyle w:val="Titre1"/>
      </w:pPr>
      <w:bookmarkStart w:id="495" w:name="_Toc518896327"/>
      <w:bookmarkStart w:id="496" w:name="_Toc523327716"/>
      <w:r w:rsidRPr="00A61C6D">
        <w:lastRenderedPageBreak/>
        <w:t>A</w:t>
      </w:r>
      <w:r>
        <w:t>nnexes</w:t>
      </w:r>
      <w:bookmarkEnd w:id="495"/>
      <w:bookmarkEnd w:id="496"/>
    </w:p>
    <w:p w14:paraId="49773442" w14:textId="17C978B9" w:rsidR="005E62BA" w:rsidRPr="00AB729D" w:rsidRDefault="005E62BA" w:rsidP="00AB729D">
      <w:pPr>
        <w:pStyle w:val="Titre2Annexes"/>
        <w:ind w:left="0"/>
      </w:pPr>
      <w:bookmarkStart w:id="497" w:name="_Toc518896328"/>
      <w:bookmarkStart w:id="498" w:name="_Toc472531666"/>
      <w:bookmarkStart w:id="499" w:name="_Ref262227857"/>
      <w:bookmarkStart w:id="500" w:name="_Toc523327717"/>
      <w:r>
        <w:lastRenderedPageBreak/>
        <w:t xml:space="preserve">Liste des </w:t>
      </w:r>
      <w:r w:rsidR="00A61141">
        <w:t>propos</w:t>
      </w:r>
      <w:r w:rsidR="0063115C">
        <w:t>i</w:t>
      </w:r>
      <w:r w:rsidR="00A61141">
        <w:t>tions</w:t>
      </w:r>
      <w:r>
        <w:t xml:space="preserve"> détaillées du rapport</w:t>
      </w:r>
      <w:bookmarkEnd w:id="500"/>
      <w:r w:rsidRPr="00AB729D">
        <w:t xml:space="preserve"> </w:t>
      </w:r>
    </w:p>
    <w:p w14:paraId="7D1CAB67" w14:textId="77777777" w:rsidR="005E62BA" w:rsidRPr="001A2597" w:rsidRDefault="005E62BA" w:rsidP="005E62BA">
      <w:pPr>
        <w:pStyle w:val="Corpsdetexte"/>
        <w:rPr>
          <w:b/>
        </w:rPr>
      </w:pPr>
      <w:r w:rsidRPr="001A2597">
        <w:rPr>
          <w:b/>
        </w:rPr>
        <w:t>Rendre effectif le droit à une couverture santé et éviter les ruptures de droit</w:t>
      </w:r>
    </w:p>
    <w:p w14:paraId="47D9084D" w14:textId="0A2622CD" w:rsidR="001F7B02" w:rsidRDefault="001F7B02" w:rsidP="005E62BA">
      <w:pPr>
        <w:pStyle w:val="Listenumros"/>
      </w:pPr>
      <w:r>
        <w:t>Optimiser le partage des données entre les différents opérateurs de la Sécurité sociale pour identifier les pe</w:t>
      </w:r>
      <w:r>
        <w:t>r</w:t>
      </w:r>
      <w:r>
        <w:t xml:space="preserve">sonnes </w:t>
      </w:r>
      <w:r w:rsidR="00582CBD">
        <w:t xml:space="preserve">fragiles </w:t>
      </w:r>
      <w:r>
        <w:t>éligibles à une couverture santé</w:t>
      </w:r>
    </w:p>
    <w:p w14:paraId="4FE8900B" w14:textId="207872CE" w:rsidR="005E62BA" w:rsidRPr="001A2597" w:rsidRDefault="005E62BA" w:rsidP="005E62BA">
      <w:pPr>
        <w:pStyle w:val="Listenumros"/>
      </w:pPr>
      <w:r w:rsidRPr="001A2597">
        <w:t>Rendre automatique l’attribution et le renouvellement de la CMU-C aux bénéficiaires du RSA socle</w:t>
      </w:r>
    </w:p>
    <w:p w14:paraId="27EAD921" w14:textId="77777777" w:rsidR="005E62BA" w:rsidRPr="001A2597" w:rsidRDefault="005E62BA" w:rsidP="005E62BA">
      <w:pPr>
        <w:pStyle w:val="Listenumros"/>
      </w:pPr>
      <w:r w:rsidRPr="001A2597">
        <w:t>Rendre automatique le renouvellement de l’aide au paiement d’une complémentaire santé aux personnes cumulant handicap et précarité (bénéficiaires de l’AAH en situation de précarité)</w:t>
      </w:r>
    </w:p>
    <w:p w14:paraId="77988660" w14:textId="371885FD" w:rsidR="005E62BA" w:rsidRDefault="005E62BA" w:rsidP="005E62BA">
      <w:pPr>
        <w:pStyle w:val="Listenumros"/>
      </w:pPr>
      <w:r w:rsidRPr="001A2597">
        <w:t>Assurer le maintien de l’AAH en cas d’hospitalisation longue</w:t>
      </w:r>
    </w:p>
    <w:p w14:paraId="4ADDA55F" w14:textId="7943C829" w:rsidR="005F3307" w:rsidRDefault="005F3307" w:rsidP="005E62BA">
      <w:pPr>
        <w:pStyle w:val="Listenumros"/>
      </w:pPr>
      <w:r>
        <w:t>Pour les contrats ACS, autoriser la fixation rétroactive de dates d’ouverture des contrats immédiatement co</w:t>
      </w:r>
      <w:r>
        <w:t>n</w:t>
      </w:r>
      <w:r>
        <w:t>sécutives à l’échéance des contrats précédents</w:t>
      </w:r>
    </w:p>
    <w:p w14:paraId="31680457" w14:textId="341E09AD" w:rsidR="005E62BA" w:rsidRPr="001A2597" w:rsidRDefault="005E62BA" w:rsidP="005E62BA">
      <w:pPr>
        <w:pStyle w:val="Listenumros"/>
      </w:pPr>
      <w:r w:rsidRPr="001A2597">
        <w:t>Clarifier l’information sur les pièces jointes à fournir concernant la régularité de séjour et la stabilité de rés</w:t>
      </w:r>
      <w:r w:rsidRPr="001A2597">
        <w:t>i</w:t>
      </w:r>
      <w:r w:rsidRPr="001A2597">
        <w:t>dence</w:t>
      </w:r>
    </w:p>
    <w:p w14:paraId="7E7B53FF" w14:textId="77777777" w:rsidR="005E62BA" w:rsidRPr="001A2597" w:rsidRDefault="005E62BA" w:rsidP="005E62BA">
      <w:pPr>
        <w:pStyle w:val="Listenumros"/>
      </w:pPr>
      <w:r w:rsidRPr="001A2597">
        <w:t>Sécuriser et harmoniser l’instruction du droit à l’AME sur le territoire par les caisses d’assurance maladie</w:t>
      </w:r>
    </w:p>
    <w:p w14:paraId="5C524809" w14:textId="360AB8DB" w:rsidR="005E62BA" w:rsidRPr="001A2597" w:rsidRDefault="00B8092D" w:rsidP="005E62BA">
      <w:pPr>
        <w:pStyle w:val="Listenumros"/>
      </w:pPr>
      <w:r>
        <w:t>Créer</w:t>
      </w:r>
      <w:r w:rsidR="005E62BA" w:rsidRPr="001A2597">
        <w:t xml:space="preserve"> des </w:t>
      </w:r>
      <w:r>
        <w:t>comités de suivi</w:t>
      </w:r>
      <w:r w:rsidR="005E62BA" w:rsidRPr="001A2597">
        <w:t xml:space="preserve"> entre l’assurance maladie et les associations qui accompagnent les personnes en situation irrégulière.</w:t>
      </w:r>
    </w:p>
    <w:p w14:paraId="5BA25869" w14:textId="77777777" w:rsidR="005E62BA" w:rsidRPr="001A2597" w:rsidRDefault="005E62BA" w:rsidP="005E62BA">
      <w:pPr>
        <w:pStyle w:val="Listenumros"/>
        <w:numPr>
          <w:ilvl w:val="0"/>
          <w:numId w:val="0"/>
        </w:numPr>
        <w:ind w:left="360"/>
      </w:pPr>
    </w:p>
    <w:p w14:paraId="7E26977F" w14:textId="77777777" w:rsidR="005E62BA" w:rsidRPr="001A2597" w:rsidRDefault="005E62BA" w:rsidP="005E62BA">
      <w:pPr>
        <w:pStyle w:val="Corpsdetexte"/>
        <w:rPr>
          <w:b/>
        </w:rPr>
      </w:pPr>
      <w:r w:rsidRPr="001A2597">
        <w:rPr>
          <w:b/>
        </w:rPr>
        <w:t>Rendre les soins financièrement accessibles</w:t>
      </w:r>
    </w:p>
    <w:p w14:paraId="3A0A64C7" w14:textId="5F1A1E63" w:rsidR="002A6C87" w:rsidRDefault="002A6C87" w:rsidP="005E62BA">
      <w:pPr>
        <w:pStyle w:val="Listenumros"/>
      </w:pPr>
      <w:r>
        <w:t>Fixer le seuil d’éligibilité de l’ACS au niveau du plafond CMU-C majoré de 45%</w:t>
      </w:r>
    </w:p>
    <w:p w14:paraId="298EDDCC" w14:textId="2C2246FF" w:rsidR="005E62BA" w:rsidRPr="001A2597" w:rsidRDefault="005E62BA" w:rsidP="005E62BA">
      <w:pPr>
        <w:pStyle w:val="Listenumros"/>
      </w:pPr>
      <w:r w:rsidRPr="001A2597">
        <w:t>Exonérer les bénéficiaires de l’AAH du ticket modérateur (comme pour les pensions d’invalidité)</w:t>
      </w:r>
    </w:p>
    <w:p w14:paraId="68DF9BEC" w14:textId="77777777" w:rsidR="005E62BA" w:rsidRPr="001A2597" w:rsidRDefault="005E62BA" w:rsidP="005E62BA">
      <w:pPr>
        <w:pStyle w:val="Listenumros"/>
      </w:pPr>
      <w:r w:rsidRPr="001A2597">
        <w:t>Réviser le référentiel des aides techniques de la PCH, coordonner ce référentiel avec la liste des produits et prestations</w:t>
      </w:r>
    </w:p>
    <w:p w14:paraId="656D8B24" w14:textId="7CF07366" w:rsidR="005E62BA" w:rsidRDefault="005E62BA" w:rsidP="005E62BA">
      <w:pPr>
        <w:pStyle w:val="Listenumros"/>
      </w:pPr>
      <w:r w:rsidRPr="001A2597">
        <w:t>Offrir aux bénéficiaires de l’ACS une couverture santé aussi protectrice que la CMU</w:t>
      </w:r>
      <w:r w:rsidRPr="001A2597">
        <w:noBreakHyphen/>
        <w:t>C, sans reste à charge sur leurs dépenses de santé</w:t>
      </w:r>
    </w:p>
    <w:p w14:paraId="2F880C10" w14:textId="3D9ACB7F" w:rsidR="000B3633" w:rsidRPr="001A2597" w:rsidRDefault="000B3633" w:rsidP="005E62BA">
      <w:pPr>
        <w:pStyle w:val="Listenumros"/>
      </w:pPr>
      <w:r>
        <w:t>Veiller à mieux faire respecter l’opposabilité des tarifs par les médecins de secteur 2</w:t>
      </w:r>
    </w:p>
    <w:p w14:paraId="010E6CAC" w14:textId="080CA4DE" w:rsidR="00093B0A" w:rsidRPr="00550CA1" w:rsidRDefault="00093B0A" w:rsidP="00AB729D">
      <w:pPr>
        <w:pStyle w:val="Listenumros"/>
      </w:pPr>
      <w:r w:rsidRPr="00550CA1">
        <w:t>A</w:t>
      </w:r>
      <w:r>
        <w:t>ligner la qualité du panier de soins CMU</w:t>
      </w:r>
      <w:r>
        <w:noBreakHyphen/>
        <w:t xml:space="preserve">C (optique, audiologie et soins prothétiques dentaires) </w:t>
      </w:r>
      <w:r w:rsidRPr="00550CA1">
        <w:t xml:space="preserve">sur le panier </w:t>
      </w:r>
      <w:r>
        <w:t>« </w:t>
      </w:r>
      <w:r w:rsidRPr="00550CA1">
        <w:t>100% Santé</w:t>
      </w:r>
      <w:r>
        <w:t> »</w:t>
      </w:r>
      <w:r w:rsidRPr="00550CA1">
        <w:t xml:space="preserve"> </w:t>
      </w:r>
      <w:r>
        <w:t>à reste</w:t>
      </w:r>
      <w:r w:rsidR="000B3633">
        <w:t xml:space="preserve"> </w:t>
      </w:r>
      <w:r>
        <w:t>à</w:t>
      </w:r>
      <w:r w:rsidR="000B3633">
        <w:t xml:space="preserve"> </w:t>
      </w:r>
      <w:r>
        <w:t>charge nul</w:t>
      </w:r>
    </w:p>
    <w:p w14:paraId="75BFBF0B" w14:textId="4522C40D" w:rsidR="00271C32" w:rsidRPr="00550CA1" w:rsidRDefault="00271C32" w:rsidP="00AB729D">
      <w:pPr>
        <w:pStyle w:val="Listenumros"/>
      </w:pPr>
      <w:r>
        <w:t>R</w:t>
      </w:r>
      <w:r w:rsidRPr="00271C32">
        <w:t>evoir la prise en charge des dispositifs médicaux par la CMU</w:t>
      </w:r>
      <w:r w:rsidRPr="00550CA1">
        <w:t>-C</w:t>
      </w:r>
      <w:r>
        <w:t xml:space="preserve"> afin de réduire les restes</w:t>
      </w:r>
      <w:r w:rsidR="000B3633">
        <w:t xml:space="preserve"> </w:t>
      </w:r>
      <w:r>
        <w:t>à</w:t>
      </w:r>
      <w:r w:rsidR="000B3633">
        <w:t xml:space="preserve"> </w:t>
      </w:r>
      <w:r>
        <w:t>charge ; harmoniser les restes</w:t>
      </w:r>
      <w:r w:rsidR="000B3633">
        <w:t xml:space="preserve"> </w:t>
      </w:r>
      <w:r>
        <w:t>à</w:t>
      </w:r>
      <w:r w:rsidR="000B3633">
        <w:t xml:space="preserve"> </w:t>
      </w:r>
      <w:r>
        <w:t xml:space="preserve">charge pour les différents bénéficiaires  </w:t>
      </w:r>
      <w:r w:rsidRPr="00550CA1">
        <w:t xml:space="preserve"> </w:t>
      </w:r>
    </w:p>
    <w:p w14:paraId="0DDA5A35" w14:textId="29EA7423" w:rsidR="003952AD" w:rsidRDefault="003952AD" w:rsidP="003952AD">
      <w:pPr>
        <w:pStyle w:val="Listenumros"/>
      </w:pPr>
      <w:r>
        <w:t>Simplifier et mieux communiquer sur la procédure de prise en charge au titre des soins urgents afin de p</w:t>
      </w:r>
      <w:r w:rsidRPr="003036F6">
        <w:t>rév</w:t>
      </w:r>
      <w:r w:rsidRPr="003036F6">
        <w:t>e</w:t>
      </w:r>
      <w:r w:rsidRPr="003036F6">
        <w:t>nir les situations d’endettement des personnes pauvres en situation irrégulière soignées à l’hôpital dans le cadre des soins urgents</w:t>
      </w:r>
      <w:r>
        <w:t xml:space="preserve">, </w:t>
      </w:r>
      <w:r w:rsidRPr="0049434D">
        <w:t>et de limiter les créances irrécouvrables pour les établissements.</w:t>
      </w:r>
    </w:p>
    <w:p w14:paraId="7817A337" w14:textId="6742B2E3" w:rsidR="005E62BA" w:rsidRPr="001A2597" w:rsidRDefault="005E62BA" w:rsidP="005E62BA">
      <w:pPr>
        <w:pStyle w:val="Listenumros"/>
        <w:numPr>
          <w:ilvl w:val="0"/>
          <w:numId w:val="0"/>
        </w:numPr>
        <w:ind w:left="360"/>
      </w:pPr>
    </w:p>
    <w:p w14:paraId="3DDD7063" w14:textId="77777777" w:rsidR="005E62BA" w:rsidRDefault="005E62BA" w:rsidP="005E62BA">
      <w:pPr>
        <w:pStyle w:val="Corpsdetexte"/>
        <w:rPr>
          <w:b/>
        </w:rPr>
      </w:pPr>
      <w:r w:rsidRPr="001A2597">
        <w:rPr>
          <w:b/>
        </w:rPr>
        <w:t>Faciliter l’accès à la santé</w:t>
      </w:r>
    </w:p>
    <w:p w14:paraId="3D8E5A11" w14:textId="2FBE4B31" w:rsidR="00AD3C09" w:rsidRPr="00AB729D" w:rsidRDefault="00AD3C09" w:rsidP="00AB729D">
      <w:pPr>
        <w:pStyle w:val="Corpsdetexte"/>
        <w:ind w:firstLine="360"/>
        <w:rPr>
          <w:b/>
          <w:i/>
        </w:rPr>
      </w:pPr>
      <w:r w:rsidRPr="00AB729D">
        <w:rPr>
          <w:b/>
          <w:i/>
        </w:rPr>
        <w:t>Faciliter l’accès à l’offre</w:t>
      </w:r>
    </w:p>
    <w:p w14:paraId="2D03D79A" w14:textId="0B2A1162" w:rsidR="000B3633" w:rsidRPr="001A2597" w:rsidRDefault="000B3633" w:rsidP="000B3633">
      <w:pPr>
        <w:pStyle w:val="Listenumros"/>
      </w:pPr>
      <w:r>
        <w:t>E</w:t>
      </w:r>
      <w:r w:rsidRPr="00F01FB6">
        <w:t xml:space="preserve">largir </w:t>
      </w:r>
      <w:r w:rsidR="005D22F8">
        <w:t>PFIDASS</w:t>
      </w:r>
      <w:r w:rsidRPr="00F01FB6">
        <w:t xml:space="preserve"> aux personnes en situation de handicap pour mieux </w:t>
      </w:r>
      <w:r>
        <w:t xml:space="preserve">les </w:t>
      </w:r>
      <w:r w:rsidRPr="00F01FB6">
        <w:t xml:space="preserve">détecter, </w:t>
      </w:r>
      <w:r>
        <w:t xml:space="preserve">les </w:t>
      </w:r>
      <w:r w:rsidRPr="00F01FB6">
        <w:t>orienter</w:t>
      </w:r>
      <w:r>
        <w:t xml:space="preserve"> et les</w:t>
      </w:r>
      <w:r w:rsidRPr="00F01FB6">
        <w:t xml:space="preserve"> accomp</w:t>
      </w:r>
      <w:r w:rsidRPr="00F01FB6">
        <w:t>a</w:t>
      </w:r>
      <w:r w:rsidRPr="00F01FB6">
        <w:t>gner en s’appuyant sur le développement de partenariats et l’utilisation des bases de données.</w:t>
      </w:r>
    </w:p>
    <w:p w14:paraId="73FC9A94" w14:textId="77777777" w:rsidR="005E62BA" w:rsidRPr="001A2597" w:rsidRDefault="005E62BA" w:rsidP="005E62BA">
      <w:pPr>
        <w:pStyle w:val="Listenumros"/>
      </w:pPr>
      <w:r w:rsidRPr="001A2597">
        <w:t>Inclure les personnes précaires en situation irrégulière dans toutes les démarches positives de d’accès aux droits et aux soins de l’Assurance maladie au même titre que les autres personnes en situation de précarité sans distinction</w:t>
      </w:r>
    </w:p>
    <w:p w14:paraId="3CC31B66" w14:textId="77777777" w:rsidR="005E62BA" w:rsidRDefault="005E62BA" w:rsidP="005E62BA">
      <w:pPr>
        <w:pStyle w:val="Listenumros"/>
      </w:pPr>
      <w:r w:rsidRPr="001A2597">
        <w:t>Se servir des outils « numériques » (outils pédagogiques, coffres-fort numériques pour les plus fragiles)</w:t>
      </w:r>
    </w:p>
    <w:p w14:paraId="79F9F421" w14:textId="77777777" w:rsidR="00AD3C09" w:rsidRDefault="00AD3C09" w:rsidP="00AB729D">
      <w:pPr>
        <w:pStyle w:val="Listenumros"/>
        <w:numPr>
          <w:ilvl w:val="0"/>
          <w:numId w:val="0"/>
        </w:numPr>
        <w:ind w:left="360"/>
      </w:pPr>
    </w:p>
    <w:p w14:paraId="26189A73" w14:textId="1F49B0AA" w:rsidR="003728B0" w:rsidRPr="00AB729D" w:rsidRDefault="00AD3C09" w:rsidP="00AB729D">
      <w:pPr>
        <w:pStyle w:val="Listenumros"/>
        <w:numPr>
          <w:ilvl w:val="0"/>
          <w:numId w:val="0"/>
        </w:numPr>
        <w:ind w:firstLine="360"/>
        <w:rPr>
          <w:b/>
          <w:i/>
        </w:rPr>
      </w:pPr>
      <w:r>
        <w:rPr>
          <w:b/>
          <w:i/>
        </w:rPr>
        <w:t>« </w:t>
      </w:r>
      <w:r w:rsidRPr="00AB729D">
        <w:rPr>
          <w:b/>
          <w:i/>
        </w:rPr>
        <w:t>Aller vers</w:t>
      </w:r>
      <w:r>
        <w:rPr>
          <w:b/>
          <w:i/>
        </w:rPr>
        <w:t> » les plus fragiles</w:t>
      </w:r>
    </w:p>
    <w:p w14:paraId="23FEE6CE" w14:textId="77777777" w:rsidR="005E62BA" w:rsidRPr="008971E4" w:rsidRDefault="005E62BA" w:rsidP="005E62BA">
      <w:pPr>
        <w:pStyle w:val="Listenumros"/>
      </w:pPr>
      <w:r w:rsidRPr="006F55A7">
        <w:t>Doter les dispositi</w:t>
      </w:r>
      <w:r w:rsidRPr="008971E4">
        <w:t>fs mobiles du « aller-vers » de financements pérennes et assurer une meilleure couverture de ces dispositifs sur le territoire (EMPP, PASS mobiles)</w:t>
      </w:r>
    </w:p>
    <w:p w14:paraId="39FBA6C5" w14:textId="77777777" w:rsidR="00BD00B0" w:rsidRPr="00983748" w:rsidRDefault="00BD00B0" w:rsidP="00BD00B0">
      <w:pPr>
        <w:pStyle w:val="Listenumros"/>
      </w:pPr>
      <w:r>
        <w:t>Doter</w:t>
      </w:r>
      <w:r w:rsidRPr="00983748">
        <w:t xml:space="preserve"> </w:t>
      </w:r>
      <w:r>
        <w:t>les structures d’hébergement social de compétences soignantes et les SIAO  de professionnels de santé capables d’orienter les personnes vers les structures sanitaires et médico-sociales adaptées.</w:t>
      </w:r>
    </w:p>
    <w:p w14:paraId="3C2539A6" w14:textId="77777777" w:rsidR="00772911" w:rsidRPr="001A2597" w:rsidRDefault="00772911" w:rsidP="00772911">
      <w:pPr>
        <w:pStyle w:val="Listenumros"/>
      </w:pPr>
      <w:r w:rsidRPr="001A2597">
        <w:t>Orienter les migrants par l’élaboration de parcours de santé</w:t>
      </w:r>
    </w:p>
    <w:p w14:paraId="238951B7" w14:textId="77777777" w:rsidR="00F24361" w:rsidRDefault="00F24361" w:rsidP="00C37EF9">
      <w:pPr>
        <w:pStyle w:val="Listenumros"/>
        <w:numPr>
          <w:ilvl w:val="0"/>
          <w:numId w:val="0"/>
        </w:numPr>
      </w:pPr>
    </w:p>
    <w:p w14:paraId="13500CD8" w14:textId="5E09C80F" w:rsidR="005B0BC9" w:rsidRPr="00AB729D" w:rsidRDefault="005B0BC9" w:rsidP="00AB729D">
      <w:pPr>
        <w:pStyle w:val="Listenumros"/>
        <w:numPr>
          <w:ilvl w:val="0"/>
          <w:numId w:val="0"/>
        </w:numPr>
        <w:ind w:firstLine="360"/>
        <w:rPr>
          <w:b/>
          <w:i/>
        </w:rPr>
      </w:pPr>
      <w:r w:rsidRPr="00AB729D">
        <w:rPr>
          <w:b/>
          <w:i/>
        </w:rPr>
        <w:t>A</w:t>
      </w:r>
      <w:r w:rsidRPr="005B0BC9">
        <w:rPr>
          <w:b/>
          <w:i/>
        </w:rPr>
        <w:t>ccompagner les p</w:t>
      </w:r>
      <w:r w:rsidRPr="00AB729D">
        <w:rPr>
          <w:b/>
          <w:i/>
        </w:rPr>
        <w:t>r</w:t>
      </w:r>
      <w:r>
        <w:rPr>
          <w:b/>
          <w:i/>
        </w:rPr>
        <w:t>o</w:t>
      </w:r>
      <w:r w:rsidRPr="00AB729D">
        <w:rPr>
          <w:b/>
          <w:i/>
        </w:rPr>
        <w:t>fessionnels de santé et adapter leurs compétences</w:t>
      </w:r>
    </w:p>
    <w:p w14:paraId="16721677" w14:textId="2355C8D7" w:rsidR="004C7377" w:rsidRDefault="004C7377" w:rsidP="004C7377">
      <w:pPr>
        <w:pStyle w:val="Listenumros"/>
      </w:pPr>
      <w:r>
        <w:t>Structurer et faciliter l’</w:t>
      </w:r>
      <w:r w:rsidR="00144978">
        <w:t>accès</w:t>
      </w:r>
      <w:r>
        <w:t xml:space="preserve"> aux informations utiles dans la pratique </w:t>
      </w:r>
      <w:r w:rsidR="00144978">
        <w:t>quotidienne</w:t>
      </w:r>
      <w:r>
        <w:t xml:space="preserve"> des professionnels</w:t>
      </w:r>
    </w:p>
    <w:p w14:paraId="67E1AA00" w14:textId="291F1F05" w:rsidR="00F24361" w:rsidRPr="00BF0401" w:rsidRDefault="005E62BA" w:rsidP="00F24361">
      <w:pPr>
        <w:pStyle w:val="Listenumros"/>
      </w:pPr>
      <w:r w:rsidRPr="00BF0401">
        <w:t xml:space="preserve">Renforcer l’accompagnement des </w:t>
      </w:r>
      <w:r w:rsidR="00F24361" w:rsidRPr="00BF0401">
        <w:t>professionnels de santé</w:t>
      </w:r>
      <w:r w:rsidRPr="00BF0401">
        <w:t xml:space="preserve"> par l’assurance maladie </w:t>
      </w:r>
    </w:p>
    <w:p w14:paraId="43D6C0EB" w14:textId="63938759" w:rsidR="00BF0401" w:rsidRDefault="00BF0401" w:rsidP="001B6E93">
      <w:pPr>
        <w:pStyle w:val="Listenumros"/>
      </w:pPr>
      <w:r w:rsidRPr="00BF0401">
        <w:lastRenderedPageBreak/>
        <w:t>Mettre à disposition des professionnels de santé les informations indispensables à la continuité des soins</w:t>
      </w:r>
    </w:p>
    <w:p w14:paraId="617A6391" w14:textId="74D88BD2" w:rsidR="00D83C75" w:rsidRPr="00BF0401" w:rsidRDefault="005E62BA" w:rsidP="00BF0401">
      <w:pPr>
        <w:pStyle w:val="Listenumros"/>
      </w:pPr>
      <w:r w:rsidRPr="00BF0401">
        <w:t>Enrichir</w:t>
      </w:r>
      <w:r w:rsidR="00BF0401" w:rsidRPr="00BF0401">
        <w:t xml:space="preserve"> les compétences de l’ensemble des professionnels de santé lors des différentes étapes de leur form</w:t>
      </w:r>
      <w:r w:rsidR="00BF0401" w:rsidRPr="00BF0401">
        <w:t>a</w:t>
      </w:r>
      <w:r w:rsidR="00BF0401" w:rsidRPr="00BF0401">
        <w:t>tion initiale et continue</w:t>
      </w:r>
      <w:r w:rsidRPr="00BF0401">
        <w:t xml:space="preserve"> </w:t>
      </w:r>
    </w:p>
    <w:p w14:paraId="3278E91B" w14:textId="77777777" w:rsidR="00BF0401" w:rsidRPr="00BF0401" w:rsidRDefault="00BF0401" w:rsidP="00F2485A">
      <w:pPr>
        <w:pStyle w:val="Listenumros"/>
        <w:numPr>
          <w:ilvl w:val="0"/>
          <w:numId w:val="0"/>
        </w:numPr>
        <w:ind w:left="360"/>
        <w:rPr>
          <w:highlight w:val="yellow"/>
        </w:rPr>
      </w:pPr>
    </w:p>
    <w:p w14:paraId="562A5EB9" w14:textId="0F392A17" w:rsidR="00D83C75" w:rsidRPr="00AB729D" w:rsidRDefault="00D83C75" w:rsidP="00AB729D">
      <w:pPr>
        <w:pStyle w:val="Listenumros"/>
        <w:numPr>
          <w:ilvl w:val="0"/>
          <w:numId w:val="0"/>
        </w:numPr>
        <w:ind w:left="360"/>
        <w:rPr>
          <w:b/>
          <w:i/>
        </w:rPr>
      </w:pPr>
      <w:r w:rsidRPr="00AB729D">
        <w:rPr>
          <w:b/>
          <w:i/>
        </w:rPr>
        <w:t>Renforcer les structures ressources dédiées</w:t>
      </w:r>
    </w:p>
    <w:p w14:paraId="6B62435D" w14:textId="213AECD7" w:rsidR="005E62BA" w:rsidRDefault="005E62BA" w:rsidP="005E62BA">
      <w:pPr>
        <w:pStyle w:val="Listenumros"/>
      </w:pPr>
      <w:r w:rsidRPr="001A2597">
        <w:t>Etablir un état des lieux partagé des consultations dédiées pour, le cas échéant, augmenter leur nombre</w:t>
      </w:r>
    </w:p>
    <w:p w14:paraId="6C9CCA15" w14:textId="744CDB13" w:rsidR="0056007F" w:rsidRDefault="0056007F" w:rsidP="0056007F">
      <w:pPr>
        <w:pStyle w:val="Listenumros"/>
      </w:pPr>
      <w:r w:rsidRPr="001A2597">
        <w:t>Mettre en place des permanences d’accès aux soins (PASS) référencées dans des centres hospitaliers sur chaque territoire et veiller au respect d’un cahier des charges</w:t>
      </w:r>
    </w:p>
    <w:p w14:paraId="092BD79A" w14:textId="77777777" w:rsidR="00D83C75" w:rsidRDefault="005E62BA" w:rsidP="005E62BA">
      <w:pPr>
        <w:pStyle w:val="Listenumros"/>
      </w:pPr>
      <w:r w:rsidRPr="001A2597">
        <w:t>Augmenter significativement le nombre de places disponibles en LAM, LHSS et ACT</w:t>
      </w:r>
    </w:p>
    <w:p w14:paraId="4CD35AFE" w14:textId="77777777" w:rsidR="00D83C75" w:rsidRDefault="00D83C75" w:rsidP="00AB729D">
      <w:pPr>
        <w:pStyle w:val="Listenumros"/>
        <w:numPr>
          <w:ilvl w:val="0"/>
          <w:numId w:val="0"/>
        </w:numPr>
        <w:ind w:left="360"/>
      </w:pPr>
    </w:p>
    <w:p w14:paraId="33BF3322" w14:textId="07CA81E5" w:rsidR="005E62BA" w:rsidRPr="00AB729D" w:rsidRDefault="00D83C75" w:rsidP="00AB729D">
      <w:pPr>
        <w:pStyle w:val="Listenumros"/>
        <w:numPr>
          <w:ilvl w:val="0"/>
          <w:numId w:val="0"/>
        </w:numPr>
        <w:ind w:left="360"/>
        <w:rPr>
          <w:b/>
          <w:i/>
        </w:rPr>
      </w:pPr>
      <w:r w:rsidRPr="00AB729D">
        <w:rPr>
          <w:b/>
          <w:i/>
        </w:rPr>
        <w:t>Mettre fin au refus de soins</w:t>
      </w:r>
      <w:r w:rsidR="005E62BA" w:rsidRPr="00AB729D" w:rsidDel="00D14B87">
        <w:rPr>
          <w:b/>
          <w:i/>
        </w:rPr>
        <w:t xml:space="preserve"> </w:t>
      </w:r>
    </w:p>
    <w:p w14:paraId="49196C01" w14:textId="77777777" w:rsidR="005E62BA" w:rsidRPr="001A2597" w:rsidRDefault="005E62BA" w:rsidP="005E62BA">
      <w:pPr>
        <w:pStyle w:val="Listenumros"/>
      </w:pPr>
      <w:r w:rsidRPr="001A2597">
        <w:t xml:space="preserve">Assurer la réunion de comités départementaux dédiés à la résolution des situations de refus de soins (CNAM, défenseur des droits, associations, conseils départementaux des ordres) </w:t>
      </w:r>
    </w:p>
    <w:p w14:paraId="6F51353B" w14:textId="17A02891" w:rsidR="005E62BA" w:rsidRPr="001A2597" w:rsidRDefault="005E62BA" w:rsidP="005E62BA">
      <w:pPr>
        <w:pStyle w:val="Listenumros"/>
      </w:pPr>
      <w:r w:rsidRPr="001A2597">
        <w:t>Mettre en place un suivi par l’assurance maladie des 5% de professionnels recevant le moins de bénéficiaires de la CMU-C, de l’ACS ou de l’AME</w:t>
      </w:r>
    </w:p>
    <w:p w14:paraId="19741498" w14:textId="77777777" w:rsidR="005E62BA" w:rsidRDefault="005E62BA" w:rsidP="005E62BA">
      <w:pPr>
        <w:pStyle w:val="Listenumros"/>
      </w:pPr>
      <w:r w:rsidRPr="001A2597">
        <w:t>Créer une carte AME numérique compatible avec les terminaux de l’assurance maladie pour faciliter le travail des professionnels de santé</w:t>
      </w:r>
    </w:p>
    <w:p w14:paraId="1546BDF3" w14:textId="77777777" w:rsidR="005E62BA" w:rsidRPr="001A2597" w:rsidRDefault="005E62BA" w:rsidP="005E62BA">
      <w:pPr>
        <w:pStyle w:val="Listenumros"/>
        <w:numPr>
          <w:ilvl w:val="0"/>
          <w:numId w:val="0"/>
        </w:numPr>
        <w:ind w:left="360"/>
      </w:pPr>
    </w:p>
    <w:p w14:paraId="55F1C5A1" w14:textId="77777777" w:rsidR="005E62BA" w:rsidRPr="001A2597" w:rsidRDefault="005E62BA" w:rsidP="005E62BA">
      <w:pPr>
        <w:pStyle w:val="Corpsdetexte"/>
        <w:rPr>
          <w:b/>
        </w:rPr>
      </w:pPr>
      <w:r w:rsidRPr="001A2597">
        <w:rPr>
          <w:b/>
        </w:rPr>
        <w:t>Mieux valoriser les spécificités de la prise en charge</w:t>
      </w:r>
    </w:p>
    <w:p w14:paraId="6E3F7612" w14:textId="2B753919" w:rsidR="00A945CD" w:rsidRPr="00A945CD" w:rsidRDefault="00A945CD" w:rsidP="005E62BA">
      <w:pPr>
        <w:pStyle w:val="Listenumros"/>
      </w:pPr>
      <w:r w:rsidRPr="00A945CD">
        <w:t xml:space="preserve">Reconnaître des majorations </w:t>
      </w:r>
      <w:r>
        <w:t>de rémunération pour la prise en charge d</w:t>
      </w:r>
      <w:r w:rsidRPr="00A945CD">
        <w:t>es personnes handicapée</w:t>
      </w:r>
    </w:p>
    <w:p w14:paraId="669F3697" w14:textId="77777777" w:rsidR="003C7126" w:rsidRPr="003C7126" w:rsidRDefault="003C7126" w:rsidP="00306BA3">
      <w:pPr>
        <w:pStyle w:val="Listenumros"/>
      </w:pPr>
      <w:r w:rsidRPr="003C7126">
        <w:t>Améliorer les indicateurs de suivi des patients en situation de précarité accueillis par les établissements, pr</w:t>
      </w:r>
      <w:r w:rsidRPr="003C7126">
        <w:t>é</w:t>
      </w:r>
      <w:r w:rsidRPr="003C7126">
        <w:t>voir des financements ad hoc pour l’accueil et le soin de personnes en situation de handicap, généraliser l’application de la circulaire frontière sur l’hôpital de jour</w:t>
      </w:r>
    </w:p>
    <w:p w14:paraId="12C73255" w14:textId="6ED909DB" w:rsidR="005E62BA" w:rsidRDefault="005E62BA" w:rsidP="00337E5D">
      <w:pPr>
        <w:pStyle w:val="Listenumros"/>
      </w:pPr>
      <w:r w:rsidRPr="00337E5D">
        <w:t xml:space="preserve">Finaliser, rendre transparent et homogène sur le territoire le panier de soins des </w:t>
      </w:r>
      <w:r w:rsidR="00736E2D" w:rsidRPr="00181084">
        <w:t>ESMS</w:t>
      </w:r>
      <w:r w:rsidR="009374C0">
        <w:t>,</w:t>
      </w:r>
      <w:r w:rsidR="00736E2D" w:rsidRPr="00337E5D">
        <w:t xml:space="preserve"> de même que l</w:t>
      </w:r>
      <w:r w:rsidR="00736E2D" w:rsidRPr="0061524B">
        <w:t>es règles et modalités de d</w:t>
      </w:r>
      <w:r w:rsidR="00736E2D" w:rsidRPr="00FF6DC6">
        <w:t>é</w:t>
      </w:r>
      <w:r w:rsidR="00736E2D" w:rsidRPr="00181084">
        <w:t>passement</w:t>
      </w:r>
      <w:r w:rsidR="00736E2D" w:rsidRPr="00181084" w:rsidDel="004D49C1">
        <w:t xml:space="preserve"> </w:t>
      </w:r>
      <w:r w:rsidR="00736E2D" w:rsidRPr="00181084">
        <w:t>et d’utilisation des soins de ville</w:t>
      </w:r>
    </w:p>
    <w:p w14:paraId="1F1A349C" w14:textId="3190A217" w:rsidR="00306BA3" w:rsidRDefault="00306BA3" w:rsidP="005E62BA">
      <w:pPr>
        <w:pStyle w:val="Listenumros"/>
      </w:pPr>
      <w:r>
        <w:t>Reconnaitre les TPM</w:t>
      </w:r>
      <w:r w:rsidR="003C7126">
        <w:t>R</w:t>
      </w:r>
      <w:r>
        <w:t xml:space="preserve"> comme transports sanitaires et</w:t>
      </w:r>
      <w:r w:rsidRPr="00F7630E">
        <w:t xml:space="preserve"> prendre en charge l’util</w:t>
      </w:r>
      <w:r>
        <w:t>isation, pour l’accès aux soins.</w:t>
      </w:r>
      <w:r w:rsidRPr="00F7630E">
        <w:t xml:space="preserve"> </w:t>
      </w:r>
    </w:p>
    <w:p w14:paraId="035D8062" w14:textId="77777777" w:rsidR="00681716" w:rsidRDefault="00681716" w:rsidP="00AB729D">
      <w:pPr>
        <w:pStyle w:val="Listenumros"/>
        <w:numPr>
          <w:ilvl w:val="0"/>
          <w:numId w:val="0"/>
        </w:numPr>
        <w:ind w:left="360"/>
      </w:pPr>
    </w:p>
    <w:p w14:paraId="707E6D8F" w14:textId="4CFA9CCA" w:rsidR="00681716" w:rsidRPr="00AB729D" w:rsidRDefault="00681716" w:rsidP="00AB729D">
      <w:pPr>
        <w:pStyle w:val="Listenumros"/>
        <w:numPr>
          <w:ilvl w:val="0"/>
          <w:numId w:val="0"/>
        </w:numPr>
        <w:rPr>
          <w:b/>
        </w:rPr>
      </w:pPr>
      <w:r w:rsidRPr="00AB729D">
        <w:rPr>
          <w:b/>
        </w:rPr>
        <w:t>Assurer un pilotage efficient de la santé de ces populations à tous les niveaux</w:t>
      </w:r>
    </w:p>
    <w:p w14:paraId="7EE29ABA" w14:textId="355543A4" w:rsidR="005E62BA" w:rsidRPr="001A2597" w:rsidRDefault="005E62BA" w:rsidP="005E62BA">
      <w:pPr>
        <w:pStyle w:val="Listenumros"/>
      </w:pPr>
      <w:r w:rsidRPr="001A2597">
        <w:t>Identifier des indicateurs de suivi de la santé de ces populations inté</w:t>
      </w:r>
      <w:r w:rsidR="00C354D5">
        <w:t>gré</w:t>
      </w:r>
      <w:r w:rsidR="00681716">
        <w:t xml:space="preserve">s aussi bien </w:t>
      </w:r>
      <w:r w:rsidRPr="001A2597">
        <w:t>dans la certification san</w:t>
      </w:r>
      <w:r w:rsidRPr="001A2597">
        <w:t>i</w:t>
      </w:r>
      <w:r w:rsidRPr="001A2597">
        <w:t>taire que l’évaluation externe et interne des structures sanitaires et médicosociales</w:t>
      </w:r>
      <w:r w:rsidR="005325BA">
        <w:t xml:space="preserve"> et dans les CPOM</w:t>
      </w:r>
    </w:p>
    <w:p w14:paraId="5656C615" w14:textId="7640FCE4" w:rsidR="005E62BA" w:rsidRDefault="003C7126" w:rsidP="005E62BA">
      <w:pPr>
        <w:pStyle w:val="Listenumros"/>
      </w:pPr>
      <w:r>
        <w:t xml:space="preserve">Affirmer </w:t>
      </w:r>
      <w:r w:rsidR="005E62BA" w:rsidRPr="001A2597">
        <w:t xml:space="preserve">le </w:t>
      </w:r>
      <w:r w:rsidR="00144978" w:rsidRPr="001A2597">
        <w:t>rôle</w:t>
      </w:r>
      <w:r w:rsidR="005E62BA" w:rsidRPr="001A2597">
        <w:t xml:space="preserve"> de la CNAM dans le pilotage national de la santé des </w:t>
      </w:r>
      <w:r w:rsidR="00801ED0">
        <w:t>personnes en situation de handicap</w:t>
      </w:r>
      <w:r w:rsidR="00801ED0" w:rsidRPr="001A2597">
        <w:t> </w:t>
      </w:r>
    </w:p>
    <w:p w14:paraId="5B37EB26" w14:textId="64942E7A" w:rsidR="0071538C" w:rsidRPr="001A2597" w:rsidRDefault="0071538C" w:rsidP="005E62BA">
      <w:pPr>
        <w:pStyle w:val="Listenumros"/>
      </w:pPr>
      <w:r>
        <w:t xml:space="preserve">Repenser les enquêtes de satisfaction dans une </w:t>
      </w:r>
      <w:r w:rsidRPr="009778C8">
        <w:t>approche usage et projet personnel dont la santé et la préve</w:t>
      </w:r>
      <w:r w:rsidRPr="009778C8">
        <w:t>n</w:t>
      </w:r>
      <w:r w:rsidRPr="009778C8">
        <w:t>tion</w:t>
      </w:r>
    </w:p>
    <w:p w14:paraId="59F9FEDA" w14:textId="3632BC34" w:rsidR="005E62BA" w:rsidRPr="001A2597" w:rsidRDefault="005E62BA" w:rsidP="005E62BA">
      <w:pPr>
        <w:pStyle w:val="Listenumros"/>
      </w:pPr>
      <w:r w:rsidRPr="001A2597">
        <w:t>Créer un observatoire d</w:t>
      </w:r>
      <w:r w:rsidR="003C7126">
        <w:t>e la</w:t>
      </w:r>
      <w:r w:rsidRPr="001A2597">
        <w:t xml:space="preserve"> santé</w:t>
      </w:r>
      <w:r w:rsidR="003C7126">
        <w:t xml:space="preserve"> et de l’accès aux soins</w:t>
      </w:r>
      <w:r w:rsidRPr="001A2597">
        <w:t xml:space="preserve"> des personnes </w:t>
      </w:r>
      <w:r w:rsidR="00801ED0">
        <w:t xml:space="preserve">en situation de </w:t>
      </w:r>
      <w:r w:rsidRPr="001A2597">
        <w:t xml:space="preserve">handicap </w:t>
      </w:r>
    </w:p>
    <w:p w14:paraId="77C01D97" w14:textId="3EAC1902" w:rsidR="00C354D5" w:rsidRDefault="00144978" w:rsidP="005E62BA">
      <w:pPr>
        <w:pStyle w:val="Listenumros"/>
      </w:pPr>
      <w:r>
        <w:t>Créer</w:t>
      </w:r>
      <w:r w:rsidR="00C354D5">
        <w:t xml:space="preserve"> un observatoire de l’accès aux droits et à la santé des migrants précaires</w:t>
      </w:r>
    </w:p>
    <w:p w14:paraId="30A54DFD" w14:textId="5C45C037" w:rsidR="005E62BA" w:rsidRPr="001A2597" w:rsidRDefault="005E62BA" w:rsidP="005E62BA">
      <w:pPr>
        <w:pStyle w:val="Listenumros"/>
      </w:pPr>
      <w:r>
        <w:t>Fournir</w:t>
      </w:r>
      <w:r w:rsidRPr="001A2597">
        <w:t xml:space="preserve"> annuellement au </w:t>
      </w:r>
      <w:r>
        <w:t>P</w:t>
      </w:r>
      <w:r w:rsidRPr="001A2597">
        <w:t xml:space="preserve">arlement </w:t>
      </w:r>
      <w:r>
        <w:t xml:space="preserve">des </w:t>
      </w:r>
      <w:r w:rsidRPr="001A2597">
        <w:t xml:space="preserve">indicateurs relatifs </w:t>
      </w:r>
      <w:r>
        <w:t>à l’accès à la santé des personnes en situation de handicap et en situation de précarité</w:t>
      </w:r>
    </w:p>
    <w:p w14:paraId="305D8F65" w14:textId="623A7247" w:rsidR="005E62BA" w:rsidRPr="00C37EF9" w:rsidRDefault="005E62BA" w:rsidP="00C37EF9">
      <w:pPr>
        <w:pStyle w:val="Corpsdetexte"/>
        <w:jc w:val="center"/>
        <w:rPr>
          <w:b/>
          <w:sz w:val="24"/>
          <w:szCs w:val="24"/>
        </w:rPr>
      </w:pPr>
      <w:r w:rsidRPr="00AB729D">
        <w:rPr>
          <w:b/>
          <w:sz w:val="24"/>
          <w:szCs w:val="24"/>
        </w:rPr>
        <w:t>Pour aller plus loin : des pistes de travail</w:t>
      </w:r>
    </w:p>
    <w:p w14:paraId="1052DCCD" w14:textId="77777777" w:rsidR="005E62BA" w:rsidRPr="00AB729D" w:rsidRDefault="005E62BA" w:rsidP="005E62BA">
      <w:pPr>
        <w:pStyle w:val="Corpsdetexte"/>
        <w:rPr>
          <w:b/>
        </w:rPr>
      </w:pPr>
      <w:r w:rsidRPr="00AB729D">
        <w:rPr>
          <w:b/>
        </w:rPr>
        <w:t>Rendre les soins financièrement accessibles</w:t>
      </w:r>
    </w:p>
    <w:p w14:paraId="55ED6669" w14:textId="77777777" w:rsidR="005E62BA" w:rsidRPr="00AB729D" w:rsidRDefault="005E62BA" w:rsidP="005E62BA">
      <w:pPr>
        <w:pStyle w:val="Bullet1"/>
        <w:rPr>
          <w:rFonts w:ascii="Calibri" w:eastAsia="Calibri" w:hAnsi="Calibri" w:cs="Times New Roman"/>
          <w:color w:val="1A171B"/>
          <w:sz w:val="20"/>
        </w:rPr>
      </w:pPr>
      <w:r w:rsidRPr="00AB729D">
        <w:rPr>
          <w:rFonts w:ascii="Calibri" w:eastAsia="Calibri" w:hAnsi="Calibri" w:cs="Times New Roman"/>
          <w:color w:val="1A171B"/>
          <w:sz w:val="20"/>
        </w:rPr>
        <w:t xml:space="preserve">Etablir un bilan des restes à charge hospitaliers et identifier des voies d’amélioration </w:t>
      </w:r>
    </w:p>
    <w:p w14:paraId="0F7E9DFE" w14:textId="77777777" w:rsidR="005E62BA" w:rsidRPr="00AB729D" w:rsidRDefault="005E62BA" w:rsidP="005E62BA">
      <w:pPr>
        <w:pStyle w:val="Bullet1"/>
        <w:rPr>
          <w:rFonts w:ascii="Calibri" w:eastAsia="Calibri" w:hAnsi="Calibri" w:cs="Times New Roman"/>
          <w:color w:val="1A171B"/>
          <w:sz w:val="20"/>
        </w:rPr>
      </w:pPr>
      <w:r w:rsidRPr="00AB729D">
        <w:rPr>
          <w:rFonts w:ascii="Calibri" w:eastAsia="Calibri" w:hAnsi="Calibri" w:cs="Times New Roman"/>
          <w:color w:val="1A171B"/>
          <w:sz w:val="20"/>
        </w:rPr>
        <w:t>Etablir un bilan de la couverture complémentaire des personnes travaillant dans les établissements et se</w:t>
      </w:r>
      <w:r w:rsidRPr="00AB729D">
        <w:rPr>
          <w:rFonts w:ascii="Calibri" w:eastAsia="Calibri" w:hAnsi="Calibri" w:cs="Times New Roman"/>
          <w:color w:val="1A171B"/>
          <w:sz w:val="20"/>
        </w:rPr>
        <w:t>r</w:t>
      </w:r>
      <w:r w:rsidRPr="00AB729D">
        <w:rPr>
          <w:rFonts w:ascii="Calibri" w:eastAsia="Calibri" w:hAnsi="Calibri" w:cs="Times New Roman"/>
          <w:color w:val="1A171B"/>
          <w:sz w:val="20"/>
        </w:rPr>
        <w:t>vices d'aide par le travail</w:t>
      </w:r>
    </w:p>
    <w:p w14:paraId="077FD692" w14:textId="77777777" w:rsidR="005E62BA" w:rsidRPr="00AB729D" w:rsidRDefault="005E62BA" w:rsidP="005E62BA">
      <w:pPr>
        <w:pStyle w:val="Bullet1"/>
        <w:rPr>
          <w:rFonts w:ascii="Calibri" w:eastAsia="Calibri" w:hAnsi="Calibri" w:cs="Times New Roman"/>
          <w:color w:val="1A171B"/>
          <w:sz w:val="20"/>
        </w:rPr>
      </w:pPr>
      <w:r w:rsidRPr="00AB729D">
        <w:rPr>
          <w:rFonts w:ascii="Calibri" w:eastAsia="Calibri" w:hAnsi="Calibri" w:cs="Times New Roman"/>
          <w:color w:val="1A171B"/>
          <w:sz w:val="20"/>
        </w:rPr>
        <w:t xml:space="preserve">Mener une étude sur la revente ou la mise à disposition de dispositifs médicaux d’occasion  </w:t>
      </w:r>
    </w:p>
    <w:p w14:paraId="4E57427B" w14:textId="77777777" w:rsidR="005E62BA" w:rsidRDefault="005E62BA" w:rsidP="005E62BA">
      <w:pPr>
        <w:pStyle w:val="Bullet1"/>
        <w:rPr>
          <w:rFonts w:ascii="Calibri" w:eastAsia="Calibri" w:hAnsi="Calibri" w:cs="Times New Roman"/>
          <w:color w:val="1A171B"/>
          <w:sz w:val="20"/>
        </w:rPr>
      </w:pPr>
      <w:r w:rsidRPr="00AB729D">
        <w:rPr>
          <w:rFonts w:ascii="Calibri" w:eastAsia="Calibri" w:hAnsi="Calibri" w:cs="Times New Roman"/>
          <w:color w:val="1A171B"/>
          <w:sz w:val="20"/>
        </w:rPr>
        <w:t xml:space="preserve">Réaliser une étude comparative de la structure des soins et des dépassements appliqués aux bénéficiaires de l’AME </w:t>
      </w:r>
    </w:p>
    <w:p w14:paraId="5DA2F205" w14:textId="7AEBEE4B" w:rsidR="003728B0" w:rsidRPr="00C37EF9" w:rsidRDefault="003728B0" w:rsidP="00C37EF9">
      <w:pPr>
        <w:pStyle w:val="Corpsdetexte"/>
        <w:rPr>
          <w:b/>
        </w:rPr>
      </w:pPr>
      <w:r w:rsidRPr="001A2597">
        <w:rPr>
          <w:b/>
        </w:rPr>
        <w:t>Faciliter l’accès à la santé</w:t>
      </w:r>
    </w:p>
    <w:p w14:paraId="40A2AE14" w14:textId="77777777" w:rsidR="003728B0" w:rsidRPr="00AB729D" w:rsidRDefault="003728B0" w:rsidP="00AB729D">
      <w:pPr>
        <w:pStyle w:val="Bullet1"/>
        <w:rPr>
          <w:rFonts w:eastAsia="Calibri"/>
          <w:color w:val="1A171B"/>
        </w:rPr>
      </w:pPr>
      <w:r w:rsidRPr="00AB729D">
        <w:rPr>
          <w:rFonts w:ascii="Calibri" w:eastAsia="Calibri" w:hAnsi="Calibri" w:cs="Times New Roman"/>
          <w:color w:val="1A171B"/>
          <w:sz w:val="20"/>
        </w:rPr>
        <w:t>Dans le cadre de la réforme de l’hôpital, étudier un nouveau circuit d’admission en psychiatrie des pe</w:t>
      </w:r>
      <w:r w:rsidRPr="00AB729D">
        <w:rPr>
          <w:rFonts w:ascii="Calibri" w:eastAsia="Calibri" w:hAnsi="Calibri" w:cs="Times New Roman"/>
          <w:color w:val="1A171B"/>
          <w:sz w:val="20"/>
        </w:rPr>
        <w:t>r</w:t>
      </w:r>
      <w:r w:rsidRPr="00AB729D">
        <w:rPr>
          <w:rFonts w:ascii="Calibri" w:eastAsia="Calibri" w:hAnsi="Calibri" w:cs="Times New Roman"/>
          <w:color w:val="1A171B"/>
          <w:sz w:val="20"/>
        </w:rPr>
        <w:t>sonnes en situation de grande exclusion</w:t>
      </w:r>
    </w:p>
    <w:p w14:paraId="1DC81FB0" w14:textId="77777777" w:rsidR="003728B0" w:rsidRPr="00AB729D" w:rsidRDefault="003728B0" w:rsidP="00AB729D">
      <w:pPr>
        <w:pStyle w:val="Bullet1"/>
        <w:numPr>
          <w:ilvl w:val="0"/>
          <w:numId w:val="0"/>
        </w:numPr>
        <w:ind w:left="720"/>
        <w:rPr>
          <w:rFonts w:ascii="Calibri" w:eastAsia="Calibri" w:hAnsi="Calibri" w:cs="Times New Roman"/>
          <w:color w:val="1A171B"/>
          <w:sz w:val="20"/>
        </w:rPr>
      </w:pPr>
    </w:p>
    <w:p w14:paraId="28CB0509" w14:textId="77777777" w:rsidR="000A2DC9" w:rsidRDefault="000A2DC9" w:rsidP="000A2DC9">
      <w:pPr>
        <w:pStyle w:val="Titre2Annexes"/>
        <w:ind w:left="0"/>
      </w:pPr>
      <w:bookmarkStart w:id="501" w:name="_Toc519018371"/>
      <w:bookmarkStart w:id="502" w:name="_Toc523327718"/>
      <w:r>
        <w:lastRenderedPageBreak/>
        <w:t>Liste des personnes rencontrées</w:t>
      </w:r>
      <w:bookmarkEnd w:id="501"/>
      <w:bookmarkEnd w:id="502"/>
    </w:p>
    <w:p w14:paraId="0F8CF1AE" w14:textId="77777777" w:rsidR="000A2DC9" w:rsidRPr="00181084" w:rsidRDefault="000A2DC9" w:rsidP="00181084">
      <w:pPr>
        <w:pStyle w:val="CorpsdetexteEdito"/>
        <w:pBdr>
          <w:bottom w:val="single" w:sz="4" w:space="1" w:color="auto"/>
        </w:pBdr>
        <w:rPr>
          <w:i w:val="0"/>
          <w:sz w:val="22"/>
        </w:rPr>
      </w:pPr>
      <w:bookmarkStart w:id="503" w:name="_Toc518374241"/>
      <w:r w:rsidRPr="00181084">
        <w:rPr>
          <w:i w:val="0"/>
          <w:sz w:val="22"/>
        </w:rPr>
        <w:t>Cabinets ministériels</w:t>
      </w:r>
      <w:bookmarkEnd w:id="503"/>
    </w:p>
    <w:p w14:paraId="2D2057A9" w14:textId="77777777" w:rsidR="000A2DC9" w:rsidRDefault="000A2DC9" w:rsidP="000A2DC9">
      <w:pPr>
        <w:pStyle w:val="Corpsdetexte"/>
      </w:pPr>
      <w:r w:rsidRPr="007A03A2">
        <w:t xml:space="preserve">Laurent </w:t>
      </w:r>
      <w:r w:rsidRPr="00433573">
        <w:rPr>
          <w:caps/>
        </w:rPr>
        <w:t>Habert</w:t>
      </w:r>
      <w:r w:rsidRPr="007A03A2">
        <w:t xml:space="preserve">, conseiller budgétaire et finances sociales auprès de la Ministre des solidarités et de la santé </w:t>
      </w:r>
    </w:p>
    <w:p w14:paraId="1E1D0376" w14:textId="77777777" w:rsidR="00EE3E7D" w:rsidRDefault="000A2DC9" w:rsidP="000A2DC9">
      <w:pPr>
        <w:pStyle w:val="Corpsdetexte"/>
      </w:pPr>
      <w:r w:rsidRPr="003E55DB">
        <w:t xml:space="preserve">Virginie </w:t>
      </w:r>
      <w:r w:rsidRPr="00433573">
        <w:rPr>
          <w:caps/>
        </w:rPr>
        <w:t>Magnant</w:t>
      </w:r>
      <w:r w:rsidRPr="003E55DB">
        <w:t xml:space="preserve">, directrice de cabinet auprès de la secrétaire d’Etat chargée des personnes handicapées </w:t>
      </w:r>
    </w:p>
    <w:p w14:paraId="56E31E44" w14:textId="77777777" w:rsidR="000A2DC9" w:rsidRPr="00181084" w:rsidRDefault="000A2DC9" w:rsidP="00181084">
      <w:pPr>
        <w:pStyle w:val="CorpsdetexteEdito"/>
        <w:pBdr>
          <w:bottom w:val="single" w:sz="4" w:space="1" w:color="auto"/>
        </w:pBdr>
        <w:rPr>
          <w:i w:val="0"/>
          <w:sz w:val="22"/>
        </w:rPr>
      </w:pPr>
      <w:r w:rsidRPr="00181084">
        <w:rPr>
          <w:i w:val="0"/>
          <w:sz w:val="22"/>
        </w:rPr>
        <w:t>Comité interministériel du handicap</w:t>
      </w:r>
    </w:p>
    <w:p w14:paraId="620CF8C8" w14:textId="536AD6A7" w:rsidR="000A2DC9" w:rsidRDefault="000A2DC9" w:rsidP="000A2DC9">
      <w:pPr>
        <w:pStyle w:val="Corpsdetexte"/>
      </w:pPr>
      <w:r>
        <w:t xml:space="preserve">Dominique GILLOT, </w:t>
      </w:r>
      <w:r w:rsidR="00F13B64">
        <w:t>p</w:t>
      </w:r>
      <w:r>
        <w:t>résidente</w:t>
      </w:r>
    </w:p>
    <w:p w14:paraId="26B107F2" w14:textId="44B9B49C" w:rsidR="000A2DC9" w:rsidRDefault="000A2DC9" w:rsidP="000A2DC9">
      <w:pPr>
        <w:pStyle w:val="Corpsdetexte"/>
      </w:pPr>
      <w:r w:rsidRPr="003E55DB">
        <w:t>E</w:t>
      </w:r>
      <w:r>
        <w:t xml:space="preserve">tienne PETITMENGIN, </w:t>
      </w:r>
      <w:r w:rsidR="00F13B64">
        <w:t>s</w:t>
      </w:r>
      <w:r>
        <w:t>ecrétaire g</w:t>
      </w:r>
      <w:r w:rsidRPr="003E55DB">
        <w:t xml:space="preserve">énéral </w:t>
      </w:r>
    </w:p>
    <w:p w14:paraId="708A88FB" w14:textId="77777777" w:rsidR="000A2DC9" w:rsidRDefault="000A2DC9" w:rsidP="000A2DC9">
      <w:pPr>
        <w:pStyle w:val="Corpsdetexte"/>
      </w:pPr>
      <w:r>
        <w:t>Sophie RATTAIRE, coordinatrice interministérielle à l’accessibilité universelle et à l’inclusion</w:t>
      </w:r>
    </w:p>
    <w:p w14:paraId="30D5A5FC" w14:textId="362065C6" w:rsidR="00D85C85" w:rsidRPr="00181084" w:rsidRDefault="00D85C85" w:rsidP="00181084">
      <w:pPr>
        <w:pStyle w:val="CorpsdetexteEdito"/>
        <w:rPr>
          <w:i w:val="0"/>
          <w:sz w:val="22"/>
          <w:u w:val="single"/>
        </w:rPr>
      </w:pPr>
      <w:r w:rsidRPr="00181084">
        <w:rPr>
          <w:i w:val="0"/>
          <w:sz w:val="22"/>
          <w:u w:val="single"/>
        </w:rPr>
        <w:t>Délégation interministérielle à la prévention et à la lutte contre la pauvreté des enfants et des jeunes</w:t>
      </w:r>
    </w:p>
    <w:p w14:paraId="0F4D7ECE" w14:textId="77777777" w:rsidR="00D85C85" w:rsidRDefault="00D85C85" w:rsidP="00D85C85">
      <w:pPr>
        <w:pStyle w:val="Corpsdetexte"/>
      </w:pPr>
      <w:r w:rsidRPr="003E55DB">
        <w:t xml:space="preserve"> </w:t>
      </w:r>
      <w:r>
        <w:t>Olivier NOBLECOURT, délégué interministériel</w:t>
      </w:r>
    </w:p>
    <w:p w14:paraId="2B06588A" w14:textId="77777777" w:rsidR="00D85C85" w:rsidRPr="003E55DB" w:rsidRDefault="00D85C85" w:rsidP="00D85C85">
      <w:pPr>
        <w:pStyle w:val="Corpsdetexte"/>
      </w:pPr>
      <w:r>
        <w:t>Clément CADORET, IGAS</w:t>
      </w:r>
    </w:p>
    <w:p w14:paraId="0DB5FC9F" w14:textId="77777777" w:rsidR="000A2DC9" w:rsidRPr="00181084" w:rsidRDefault="000A2DC9" w:rsidP="00181084">
      <w:pPr>
        <w:pStyle w:val="CorpsdetexteEdito"/>
        <w:pBdr>
          <w:bottom w:val="single" w:sz="4" w:space="1" w:color="auto"/>
        </w:pBdr>
        <w:rPr>
          <w:i w:val="0"/>
          <w:sz w:val="22"/>
        </w:rPr>
      </w:pPr>
      <w:bookmarkStart w:id="504" w:name="_Toc518374242"/>
      <w:r w:rsidRPr="00181084">
        <w:rPr>
          <w:i w:val="0"/>
          <w:sz w:val="22"/>
        </w:rPr>
        <w:t>Administrations centrales du ministère des solidarités et de la santé</w:t>
      </w:r>
      <w:bookmarkEnd w:id="504"/>
    </w:p>
    <w:p w14:paraId="19A927EC" w14:textId="77777777" w:rsidR="000A2DC9" w:rsidRPr="00181084" w:rsidRDefault="000A2DC9" w:rsidP="00181084">
      <w:pPr>
        <w:pStyle w:val="CorpsdetexteEdito"/>
        <w:rPr>
          <w:sz w:val="22"/>
          <w:u w:val="single"/>
        </w:rPr>
      </w:pPr>
      <w:r w:rsidRPr="00181084">
        <w:rPr>
          <w:sz w:val="22"/>
          <w:u w:val="single"/>
        </w:rPr>
        <w:t>Direction de la sécurité sociale</w:t>
      </w:r>
    </w:p>
    <w:p w14:paraId="096D3924" w14:textId="77777777" w:rsidR="000A2DC9" w:rsidRDefault="000A2DC9" w:rsidP="000A2DC9">
      <w:pPr>
        <w:pStyle w:val="Corpsdetexte"/>
      </w:pPr>
      <w:r w:rsidRPr="003E55DB">
        <w:t xml:space="preserve">Julie </w:t>
      </w:r>
      <w:r w:rsidRPr="00433573">
        <w:rPr>
          <w:caps/>
        </w:rPr>
        <w:t>Pougheon</w:t>
      </w:r>
      <w:r w:rsidRPr="003E55DB">
        <w:t>, adjointe au sous-directeur de l’accès aux soins</w:t>
      </w:r>
    </w:p>
    <w:p w14:paraId="3E35DA98" w14:textId="77777777" w:rsidR="000A2DC9" w:rsidRPr="003E55DB" w:rsidRDefault="000A2DC9" w:rsidP="000A2DC9">
      <w:pPr>
        <w:pStyle w:val="Corpsdetexte"/>
      </w:pPr>
      <w:r w:rsidRPr="003E55DB">
        <w:t xml:space="preserve">Sarah </w:t>
      </w:r>
      <w:r w:rsidRPr="00433573">
        <w:rPr>
          <w:caps/>
        </w:rPr>
        <w:t>Sauneron</w:t>
      </w:r>
      <w:r>
        <w:t>, cheffe</w:t>
      </w:r>
      <w:r w:rsidRPr="003E55DB">
        <w:t xml:space="preserve"> du bureau accès aux soins et prestations de santé</w:t>
      </w:r>
    </w:p>
    <w:p w14:paraId="330FBBC2" w14:textId="77777777" w:rsidR="000A2DC9" w:rsidRDefault="000A2DC9" w:rsidP="000A2DC9">
      <w:pPr>
        <w:pStyle w:val="Corpsdetexte"/>
      </w:pPr>
      <w:r w:rsidRPr="003E55DB">
        <w:t xml:space="preserve">Marion </w:t>
      </w:r>
      <w:r w:rsidRPr="00433573">
        <w:rPr>
          <w:caps/>
        </w:rPr>
        <w:t>Billon-Galland</w:t>
      </w:r>
      <w:r>
        <w:t>, chargée de mission, b</w:t>
      </w:r>
      <w:r w:rsidRPr="003E55DB">
        <w:t>ureau de l’accès aux soins et des prestations de santé</w:t>
      </w:r>
    </w:p>
    <w:p w14:paraId="7DA2C057" w14:textId="2352ACC0" w:rsidR="000A2DC9" w:rsidRDefault="000A2DC9" w:rsidP="000A2DC9">
      <w:pPr>
        <w:pStyle w:val="Corpsdetexte"/>
      </w:pPr>
      <w:r w:rsidRPr="003E55DB">
        <w:t xml:space="preserve">Chloé </w:t>
      </w:r>
      <w:r w:rsidRPr="00433573">
        <w:rPr>
          <w:caps/>
        </w:rPr>
        <w:t>Ravouna</w:t>
      </w:r>
      <w:r w:rsidRPr="003E55DB">
        <w:t xml:space="preserve">, </w:t>
      </w:r>
      <w:r w:rsidR="00944373">
        <w:t>chargée de mission</w:t>
      </w:r>
      <w:r w:rsidRPr="00611BE1">
        <w:t xml:space="preserve">, bureau </w:t>
      </w:r>
      <w:r w:rsidRPr="003E55DB">
        <w:t>de l’accès aux soins et des prestations de santé</w:t>
      </w:r>
    </w:p>
    <w:p w14:paraId="67B9B2A7" w14:textId="77777777" w:rsidR="000A2DC9" w:rsidRDefault="000A2DC9" w:rsidP="000A2DC9">
      <w:pPr>
        <w:pStyle w:val="Corpsdetexte"/>
      </w:pPr>
      <w:r>
        <w:t>François BRILLANCEAU, chef de la division des affaires communautaires et internationales</w:t>
      </w:r>
    </w:p>
    <w:p w14:paraId="5A07A3FB" w14:textId="77777777" w:rsidR="000A2DC9" w:rsidRPr="00181084" w:rsidRDefault="000A2DC9" w:rsidP="00181084">
      <w:pPr>
        <w:pStyle w:val="CorpsdetexteEdito"/>
        <w:rPr>
          <w:sz w:val="22"/>
          <w:u w:val="single"/>
        </w:rPr>
      </w:pPr>
      <w:bookmarkStart w:id="505" w:name="_Toc518374243"/>
      <w:r w:rsidRPr="00181084">
        <w:rPr>
          <w:sz w:val="22"/>
          <w:u w:val="single"/>
        </w:rPr>
        <w:t>Direction générale de l’offre de soins</w:t>
      </w:r>
      <w:bookmarkEnd w:id="505"/>
    </w:p>
    <w:p w14:paraId="722AC2ED" w14:textId="35BA00B1" w:rsidR="000A2DC9" w:rsidRDefault="000A2DC9" w:rsidP="000A2DC9">
      <w:pPr>
        <w:pStyle w:val="Corpsdetexte"/>
      </w:pPr>
      <w:r>
        <w:t xml:space="preserve">Cécile </w:t>
      </w:r>
      <w:r w:rsidRPr="009768BF">
        <w:rPr>
          <w:caps/>
        </w:rPr>
        <w:t>Courrège</w:t>
      </w:r>
      <w:r>
        <w:rPr>
          <w:caps/>
        </w:rPr>
        <w:t>S</w:t>
      </w:r>
      <w:r>
        <w:t xml:space="preserve">, directrice générale </w:t>
      </w:r>
    </w:p>
    <w:p w14:paraId="6D84E9C4" w14:textId="77777777" w:rsidR="000A2DC9" w:rsidRDefault="000A2DC9" w:rsidP="000A2DC9">
      <w:pPr>
        <w:pStyle w:val="Corpsdetexte"/>
      </w:pPr>
      <w:r>
        <w:t xml:space="preserve">Thomas </w:t>
      </w:r>
      <w:r w:rsidRPr="009768BF">
        <w:rPr>
          <w:caps/>
        </w:rPr>
        <w:t>Deroche</w:t>
      </w:r>
      <w:r>
        <w:t>, sous-directeur de la régulation de l’offre de soins</w:t>
      </w:r>
    </w:p>
    <w:p w14:paraId="1F090528" w14:textId="77777777" w:rsidR="000A2DC9" w:rsidRDefault="000A2DC9" w:rsidP="000A2DC9">
      <w:pPr>
        <w:pStyle w:val="Corpsdetexte"/>
      </w:pPr>
      <w:r w:rsidRPr="003E55DB">
        <w:t xml:space="preserve">Sylvie </w:t>
      </w:r>
      <w:r w:rsidRPr="00433573">
        <w:rPr>
          <w:caps/>
        </w:rPr>
        <w:t>Escalon</w:t>
      </w:r>
      <w:r w:rsidRPr="003E55DB">
        <w:t>, adjointe au sous-directeur régulation de l’offre de soins</w:t>
      </w:r>
    </w:p>
    <w:p w14:paraId="38179A3C" w14:textId="77777777" w:rsidR="000A2DC9" w:rsidRPr="003E55DB" w:rsidRDefault="000A2DC9" w:rsidP="000A2DC9">
      <w:pPr>
        <w:pStyle w:val="Corpsdetexte"/>
      </w:pPr>
      <w:r w:rsidRPr="003E55DB">
        <w:t xml:space="preserve">Julia </w:t>
      </w:r>
      <w:r w:rsidRPr="00433573">
        <w:rPr>
          <w:caps/>
        </w:rPr>
        <w:t>Caratti</w:t>
      </w:r>
      <w:r w:rsidRPr="003E55DB">
        <w:t>, chargée de mission handicap, sous-direction régulation de l’offre de soins</w:t>
      </w:r>
    </w:p>
    <w:p w14:paraId="7C84CD4E" w14:textId="77777777" w:rsidR="000A2DC9" w:rsidRDefault="000A2DC9" w:rsidP="000A2DC9">
      <w:pPr>
        <w:pStyle w:val="Corpsdetexte"/>
      </w:pPr>
      <w:r>
        <w:t xml:space="preserve">Matthias </w:t>
      </w:r>
      <w:r w:rsidRPr="009768BF">
        <w:rPr>
          <w:caps/>
        </w:rPr>
        <w:t>Albertone</w:t>
      </w:r>
      <w:r>
        <w:t>, sous-directeur des ressources humaines du système de santé</w:t>
      </w:r>
    </w:p>
    <w:p w14:paraId="0DC51D8E" w14:textId="77777777" w:rsidR="000A2DC9" w:rsidRPr="003E55DB" w:rsidRDefault="000A2DC9" w:rsidP="000A2DC9">
      <w:pPr>
        <w:pStyle w:val="Corpsdetexte"/>
      </w:pPr>
      <w:r>
        <w:t xml:space="preserve">Myriam </w:t>
      </w:r>
      <w:r w:rsidRPr="009768BF">
        <w:rPr>
          <w:caps/>
        </w:rPr>
        <w:t>Bur</w:t>
      </w:r>
      <w:r>
        <w:t>DIN, cheffe du bureau coopérations et contractualisation, sous-direction pilotage de la performance</w:t>
      </w:r>
    </w:p>
    <w:p w14:paraId="5E0B7992" w14:textId="77777777" w:rsidR="000A2DC9" w:rsidRDefault="000A2DC9" w:rsidP="000A2DC9">
      <w:pPr>
        <w:pStyle w:val="Corpsdetexte"/>
        <w:rPr>
          <w:caps/>
        </w:rPr>
      </w:pPr>
      <w:r>
        <w:t xml:space="preserve">Delphine </w:t>
      </w:r>
      <w:r w:rsidRPr="009768BF">
        <w:rPr>
          <w:caps/>
        </w:rPr>
        <w:t>Vivet</w:t>
      </w:r>
      <w:r>
        <w:rPr>
          <w:caps/>
        </w:rPr>
        <w:t xml:space="preserve">, </w:t>
      </w:r>
      <w:r>
        <w:t>bureau coopérations et contractualisation, sous-direction pilotage de la performance</w:t>
      </w:r>
    </w:p>
    <w:p w14:paraId="7943BD96" w14:textId="77777777" w:rsidR="000A2DC9" w:rsidRDefault="000A2DC9" w:rsidP="000A2DC9">
      <w:pPr>
        <w:pStyle w:val="Corpsdetexte"/>
      </w:pPr>
      <w:r w:rsidRPr="003E55DB">
        <w:t xml:space="preserve">Yann-Maël </w:t>
      </w:r>
      <w:r w:rsidRPr="00433573">
        <w:rPr>
          <w:caps/>
        </w:rPr>
        <w:t>Le Douar</w:t>
      </w:r>
      <w:r>
        <w:rPr>
          <w:caps/>
        </w:rPr>
        <w:t>i</w:t>
      </w:r>
      <w:r w:rsidRPr="00433573">
        <w:rPr>
          <w:caps/>
        </w:rPr>
        <w:t>n</w:t>
      </w:r>
      <w:r w:rsidRPr="003E55DB">
        <w:t>, conseiller médical télémédecine, sous-direction pilotage et performance</w:t>
      </w:r>
    </w:p>
    <w:p w14:paraId="36CD24BF" w14:textId="77777777" w:rsidR="000A2DC9" w:rsidRPr="003E55DB" w:rsidRDefault="000A2DC9" w:rsidP="000A2DC9">
      <w:pPr>
        <w:pStyle w:val="Corpsdetexte"/>
      </w:pPr>
      <w:r>
        <w:t>Adeline</w:t>
      </w:r>
      <w:r>
        <w:rPr>
          <w:caps/>
        </w:rPr>
        <w:t xml:space="preserve"> BERTSCH-MERVEILLEUX, </w:t>
      </w:r>
      <w:r w:rsidRPr="00433573">
        <w:t xml:space="preserve">chargée de </w:t>
      </w:r>
      <w:r>
        <w:t>mission addictions-précarité</w:t>
      </w:r>
    </w:p>
    <w:p w14:paraId="77077399" w14:textId="77777777" w:rsidR="000A2DC9" w:rsidRPr="00181084" w:rsidRDefault="000A2DC9" w:rsidP="00181084">
      <w:pPr>
        <w:pStyle w:val="CorpsdetexteEdito"/>
        <w:rPr>
          <w:sz w:val="22"/>
          <w:u w:val="single"/>
        </w:rPr>
      </w:pPr>
      <w:r w:rsidRPr="00181084">
        <w:rPr>
          <w:sz w:val="22"/>
          <w:u w:val="single"/>
        </w:rPr>
        <w:t>Direction générale de la santé</w:t>
      </w:r>
    </w:p>
    <w:p w14:paraId="73EAA7F8" w14:textId="77777777" w:rsidR="000A2DC9" w:rsidRDefault="000A2DC9" w:rsidP="000A2DC9">
      <w:pPr>
        <w:pStyle w:val="Corpsdetexte"/>
      </w:pPr>
      <w:r w:rsidRPr="003E55DB">
        <w:t xml:space="preserve">Zinna </w:t>
      </w:r>
      <w:r w:rsidRPr="00433573">
        <w:rPr>
          <w:caps/>
        </w:rPr>
        <w:t>Bessa</w:t>
      </w:r>
      <w:r w:rsidRPr="003E55DB">
        <w:t>, sous-directrice santé des populations et prévention des maladies chroniques</w:t>
      </w:r>
    </w:p>
    <w:p w14:paraId="1AE56903" w14:textId="14953C58" w:rsidR="00206459" w:rsidRPr="003E55DB" w:rsidRDefault="00206459" w:rsidP="00206459">
      <w:pPr>
        <w:pStyle w:val="Corpsdetexte"/>
      </w:pPr>
      <w:r w:rsidRPr="00181084">
        <w:t>Patrick Ambroise, adjoint à la sous directrice</w:t>
      </w:r>
      <w:r>
        <w:t xml:space="preserve"> santé des populations et prévention des maladies chroniques</w:t>
      </w:r>
    </w:p>
    <w:p w14:paraId="0C3ACACF" w14:textId="77777777" w:rsidR="000A2DC9" w:rsidRPr="003E55DB" w:rsidRDefault="000A2DC9" w:rsidP="000A2DC9">
      <w:pPr>
        <w:pStyle w:val="Corpsdetexte"/>
      </w:pPr>
      <w:r w:rsidRPr="003E55DB">
        <w:t xml:space="preserve">Caroline </w:t>
      </w:r>
      <w:r w:rsidRPr="00433573">
        <w:rPr>
          <w:caps/>
        </w:rPr>
        <w:t>Bussière</w:t>
      </w:r>
      <w:r w:rsidRPr="003E55DB">
        <w:t xml:space="preserve">, adjointe </w:t>
      </w:r>
      <w:r>
        <w:t>de la cheffe de</w:t>
      </w:r>
      <w:r w:rsidRPr="003E55DB">
        <w:t xml:space="preserve"> bureau santé des populations et politique vaccinale</w:t>
      </w:r>
    </w:p>
    <w:p w14:paraId="46832876" w14:textId="77777777" w:rsidR="000A2DC9" w:rsidRPr="003E55DB" w:rsidRDefault="000A2DC9" w:rsidP="000A2DC9">
      <w:pPr>
        <w:pStyle w:val="Corpsdetexte"/>
      </w:pPr>
      <w:r w:rsidRPr="003E55DB">
        <w:t xml:space="preserve">Pierre </w:t>
      </w:r>
      <w:r w:rsidRPr="00433573">
        <w:rPr>
          <w:caps/>
        </w:rPr>
        <w:t>Buttet</w:t>
      </w:r>
      <w:r w:rsidRPr="003E55DB">
        <w:t>, chef du bureau des maladies chroniques non transmissibles</w:t>
      </w:r>
    </w:p>
    <w:p w14:paraId="30B418BA" w14:textId="77777777" w:rsidR="000A2DC9" w:rsidRPr="003E55DB" w:rsidRDefault="000A2DC9" w:rsidP="000A2DC9">
      <w:pPr>
        <w:pStyle w:val="Corpsdetexte"/>
      </w:pPr>
      <w:r w:rsidRPr="003E55DB">
        <w:t xml:space="preserve">Elisabeth </w:t>
      </w:r>
      <w:r w:rsidRPr="00433573">
        <w:rPr>
          <w:caps/>
        </w:rPr>
        <w:t>Gaillard</w:t>
      </w:r>
      <w:r w:rsidRPr="003E55DB">
        <w:t xml:space="preserve">, adjointe du chef </w:t>
      </w:r>
      <w:r>
        <w:t>de</w:t>
      </w:r>
      <w:r w:rsidRPr="003E55DB">
        <w:t xml:space="preserve"> bureau des maladies chroniques non transmissibles</w:t>
      </w:r>
    </w:p>
    <w:p w14:paraId="08255397" w14:textId="77777777" w:rsidR="000A2DC9" w:rsidRPr="00181084" w:rsidRDefault="000A2DC9" w:rsidP="00181084">
      <w:pPr>
        <w:pStyle w:val="CorpsdetexteEdito"/>
        <w:rPr>
          <w:sz w:val="22"/>
          <w:u w:val="single"/>
        </w:rPr>
      </w:pPr>
      <w:r w:rsidRPr="00181084">
        <w:rPr>
          <w:sz w:val="22"/>
          <w:u w:val="single"/>
        </w:rPr>
        <w:lastRenderedPageBreak/>
        <w:t>Direction générale de la cohésion sociale</w:t>
      </w:r>
    </w:p>
    <w:p w14:paraId="1B048E4A" w14:textId="4F3D32AF" w:rsidR="000A2DC9" w:rsidRPr="003E55DB" w:rsidRDefault="000A2DC9" w:rsidP="000A2DC9">
      <w:pPr>
        <w:pStyle w:val="Corpsdetexte"/>
      </w:pPr>
      <w:r>
        <w:t xml:space="preserve">Jean-Philippe VINQUANT, directeur général </w:t>
      </w:r>
    </w:p>
    <w:p w14:paraId="18D37CD6" w14:textId="77777777" w:rsidR="000A2DC9" w:rsidRDefault="000A2DC9" w:rsidP="000A2DC9">
      <w:pPr>
        <w:pStyle w:val="Corpsdetexte"/>
      </w:pPr>
      <w:r w:rsidRPr="003E55DB">
        <w:t xml:space="preserve">Cécile </w:t>
      </w:r>
      <w:r w:rsidRPr="00433573">
        <w:rPr>
          <w:caps/>
        </w:rPr>
        <w:t>TAGLIANA</w:t>
      </w:r>
      <w:r w:rsidRPr="003E55DB">
        <w:t xml:space="preserve">, cheffe </w:t>
      </w:r>
      <w:r>
        <w:t>du service des politiques sociales et médico-sociales, adjointe au directeur général</w:t>
      </w:r>
    </w:p>
    <w:p w14:paraId="0468C9F4" w14:textId="77777777" w:rsidR="000A2DC9" w:rsidRDefault="000A2DC9" w:rsidP="000A2DC9">
      <w:pPr>
        <w:pStyle w:val="Corpsdetexte"/>
      </w:pPr>
      <w:r>
        <w:t>Jean-Guillaume BRETENOUX, sous-directeur de l’autonomie des personnes handicapées et des personnes âgées</w:t>
      </w:r>
    </w:p>
    <w:p w14:paraId="43184F8F" w14:textId="77777777" w:rsidR="000A2DC9" w:rsidRDefault="000A2DC9" w:rsidP="000A2DC9">
      <w:pPr>
        <w:pStyle w:val="Corpsdetexte"/>
      </w:pPr>
      <w:r>
        <w:t>Stéphanie TALBOT, cheffe du</w:t>
      </w:r>
      <w:r w:rsidRPr="003E55DB">
        <w:t xml:space="preserve"> bureau de l’insertion, de citoyenneté et des parcours de vie des personnes handic</w:t>
      </w:r>
      <w:r w:rsidRPr="003E55DB">
        <w:t>a</w:t>
      </w:r>
      <w:r w:rsidRPr="003E55DB">
        <w:t>pées</w:t>
      </w:r>
    </w:p>
    <w:p w14:paraId="16B10A73" w14:textId="77777777" w:rsidR="000A2DC9" w:rsidRPr="003E55DB" w:rsidRDefault="000A2DC9" w:rsidP="000A2DC9">
      <w:pPr>
        <w:pStyle w:val="Corpsdetexte"/>
      </w:pPr>
      <w:r w:rsidRPr="003E55DB">
        <w:t xml:space="preserve">Cécile CHARBAUT, adjointe à la sous directrice de l’inclusion sociale, </w:t>
      </w:r>
      <w:r>
        <w:t>de l’insertion et de la lutte contre la pauvreté</w:t>
      </w:r>
    </w:p>
    <w:p w14:paraId="20EAAE07" w14:textId="77777777" w:rsidR="000A2DC9" w:rsidRPr="003E55DB" w:rsidRDefault="000A2DC9" w:rsidP="000A2DC9">
      <w:pPr>
        <w:pStyle w:val="Corpsdetexte"/>
      </w:pPr>
      <w:r w:rsidRPr="003E55DB">
        <w:t xml:space="preserve">Corinne EHRHART, adjointe à la cheffe de bureau accès aux droits, insertion et </w:t>
      </w:r>
      <w:r>
        <w:t>économie sociale et solidaire</w:t>
      </w:r>
      <w:r w:rsidRPr="003E55DB">
        <w:t xml:space="preserve"> </w:t>
      </w:r>
    </w:p>
    <w:p w14:paraId="66230A9F" w14:textId="77777777" w:rsidR="000A2DC9" w:rsidRDefault="000A2DC9" w:rsidP="000A2DC9">
      <w:pPr>
        <w:pStyle w:val="Corpsdetexte"/>
      </w:pPr>
      <w:r>
        <w:t>Clarita BENY, chargée de mission accès aux droits, insertion et économie sociale et solidaire</w:t>
      </w:r>
    </w:p>
    <w:p w14:paraId="695B6BEC" w14:textId="77777777" w:rsidR="000A2DC9" w:rsidRDefault="000A2DC9" w:rsidP="000A2DC9">
      <w:pPr>
        <w:pStyle w:val="Corpsdetexte"/>
      </w:pPr>
      <w:r>
        <w:t>Jean-Philippe NATALI</w:t>
      </w:r>
    </w:p>
    <w:p w14:paraId="734827BB" w14:textId="77777777" w:rsidR="000A2DC9" w:rsidRPr="00181084" w:rsidRDefault="000A2DC9" w:rsidP="00181084">
      <w:pPr>
        <w:pStyle w:val="CorpsdetexteEdito"/>
        <w:rPr>
          <w:sz w:val="22"/>
          <w:u w:val="single"/>
        </w:rPr>
      </w:pPr>
      <w:r w:rsidRPr="00181084">
        <w:rPr>
          <w:sz w:val="22"/>
          <w:u w:val="single"/>
        </w:rPr>
        <w:t>Direction de la recherche, des études, de l’évaluation et des statistiques </w:t>
      </w:r>
    </w:p>
    <w:p w14:paraId="32291976" w14:textId="79CE44C1" w:rsidR="000A2DC9" w:rsidRPr="003E55DB" w:rsidRDefault="000A2DC9" w:rsidP="000A2DC9">
      <w:pPr>
        <w:pStyle w:val="Corpsdetexte"/>
      </w:pPr>
      <w:r w:rsidRPr="003E55DB">
        <w:t xml:space="preserve">Jean-Marc </w:t>
      </w:r>
      <w:r w:rsidRPr="00433573">
        <w:rPr>
          <w:caps/>
        </w:rPr>
        <w:t>Aubert</w:t>
      </w:r>
      <w:r w:rsidRPr="003E55DB">
        <w:t>, directeur</w:t>
      </w:r>
    </w:p>
    <w:p w14:paraId="6DC28653" w14:textId="77777777" w:rsidR="000A2DC9" w:rsidRPr="003E55DB" w:rsidRDefault="000A2DC9" w:rsidP="000A2DC9">
      <w:pPr>
        <w:pStyle w:val="Corpsdetexte"/>
      </w:pPr>
      <w:r w:rsidRPr="003E55DB">
        <w:t xml:space="preserve">Patrick </w:t>
      </w:r>
      <w:r w:rsidRPr="00433573">
        <w:rPr>
          <w:caps/>
        </w:rPr>
        <w:t>Aubert</w:t>
      </w:r>
      <w:r>
        <w:t>, sous-directeur o</w:t>
      </w:r>
      <w:r w:rsidRPr="003E55DB">
        <w:t>bservation de la solidarité</w:t>
      </w:r>
    </w:p>
    <w:p w14:paraId="5AA822C6" w14:textId="77777777" w:rsidR="000A2DC9" w:rsidRPr="003E55DB" w:rsidRDefault="000A2DC9" w:rsidP="000A2DC9">
      <w:pPr>
        <w:pStyle w:val="Corpsdetexte"/>
      </w:pPr>
      <w:r w:rsidRPr="003E55DB">
        <w:t xml:space="preserve">Renaud </w:t>
      </w:r>
      <w:r w:rsidRPr="00433573">
        <w:rPr>
          <w:caps/>
        </w:rPr>
        <w:t>Legal</w:t>
      </w:r>
      <w:r w:rsidRPr="003E55DB">
        <w:t xml:space="preserve">, adjoint à la sous-direction </w:t>
      </w:r>
      <w:r>
        <w:t>o</w:t>
      </w:r>
      <w:r w:rsidRPr="003E55DB">
        <w:t>bservation de la santé et de l’assurance maladie</w:t>
      </w:r>
    </w:p>
    <w:p w14:paraId="69F5BF97" w14:textId="77777777" w:rsidR="00337E5D" w:rsidRDefault="00337E5D" w:rsidP="00181084">
      <w:pPr>
        <w:pStyle w:val="CorpsdetexteEdito"/>
        <w:rPr>
          <w:i w:val="0"/>
          <w:sz w:val="22"/>
          <w:u w:val="single"/>
        </w:rPr>
      </w:pPr>
      <w:bookmarkStart w:id="506" w:name="_Toc518374244"/>
    </w:p>
    <w:p w14:paraId="7F4AF33F" w14:textId="77777777" w:rsidR="000A2DC9" w:rsidRPr="00181084" w:rsidRDefault="000A2DC9" w:rsidP="00181084">
      <w:pPr>
        <w:pStyle w:val="CorpsdetexteEdito"/>
        <w:pBdr>
          <w:bottom w:val="single" w:sz="4" w:space="1" w:color="auto"/>
        </w:pBdr>
        <w:rPr>
          <w:i w:val="0"/>
          <w:sz w:val="22"/>
        </w:rPr>
      </w:pPr>
      <w:r w:rsidRPr="00181084">
        <w:rPr>
          <w:i w:val="0"/>
          <w:sz w:val="22"/>
        </w:rPr>
        <w:t>Administration centrale du ministère du budget</w:t>
      </w:r>
      <w:bookmarkEnd w:id="506"/>
    </w:p>
    <w:p w14:paraId="7962B89C" w14:textId="77777777" w:rsidR="000A2DC9" w:rsidRPr="00181084" w:rsidRDefault="000A2DC9" w:rsidP="00181084">
      <w:pPr>
        <w:pStyle w:val="CorpsdetexteEdito"/>
        <w:rPr>
          <w:sz w:val="22"/>
          <w:u w:val="single"/>
        </w:rPr>
      </w:pPr>
      <w:r w:rsidRPr="00181084">
        <w:rPr>
          <w:sz w:val="22"/>
          <w:u w:val="single"/>
        </w:rPr>
        <w:t>Direction générale du Trésor</w:t>
      </w:r>
    </w:p>
    <w:p w14:paraId="5B513B45" w14:textId="77777777" w:rsidR="000A2DC9" w:rsidRPr="003E55DB" w:rsidRDefault="000A2DC9" w:rsidP="000A2DC9">
      <w:pPr>
        <w:pStyle w:val="Corpsdetexte"/>
      </w:pPr>
      <w:r w:rsidRPr="003E55DB">
        <w:t>Ben</w:t>
      </w:r>
      <w:r>
        <w:t>jamin DELOZIER, sous-directeur p</w:t>
      </w:r>
      <w:r w:rsidRPr="003E55DB">
        <w:t>ol</w:t>
      </w:r>
      <w:r>
        <w:t>itiques sociales et emploi</w:t>
      </w:r>
    </w:p>
    <w:p w14:paraId="565BB6FB" w14:textId="77777777" w:rsidR="000A2DC9" w:rsidRPr="003E55DB" w:rsidRDefault="000A2DC9" w:rsidP="000A2DC9">
      <w:pPr>
        <w:pStyle w:val="Corpsdetexte"/>
      </w:pPr>
      <w:r w:rsidRPr="003E55DB">
        <w:t xml:space="preserve">Thierry GRIGNON, chef du bureau </w:t>
      </w:r>
      <w:r>
        <w:t>s</w:t>
      </w:r>
      <w:r w:rsidRPr="003E55DB">
        <w:t>anté et compte</w:t>
      </w:r>
      <w:r>
        <w:t>s</w:t>
      </w:r>
      <w:r w:rsidRPr="003E55DB">
        <w:t xml:space="preserve"> sociaux</w:t>
      </w:r>
    </w:p>
    <w:p w14:paraId="1787B120" w14:textId="77777777" w:rsidR="000A2DC9" w:rsidRDefault="000A2DC9" w:rsidP="000A2DC9">
      <w:pPr>
        <w:pStyle w:val="Corpsdetexte"/>
      </w:pPr>
      <w:r w:rsidRPr="00A8114C">
        <w:t xml:space="preserve">Victor </w:t>
      </w:r>
      <w:r>
        <w:t>CLUZEL, bureau santé et comptes sociaux</w:t>
      </w:r>
    </w:p>
    <w:p w14:paraId="79EFA250" w14:textId="77777777" w:rsidR="00337E5D" w:rsidRDefault="00337E5D" w:rsidP="000A2DC9">
      <w:pPr>
        <w:pStyle w:val="Corpsdetexte"/>
      </w:pPr>
    </w:p>
    <w:p w14:paraId="4BA2C85B" w14:textId="77777777" w:rsidR="000A2DC9" w:rsidRPr="00181084" w:rsidRDefault="000A2DC9" w:rsidP="00181084">
      <w:pPr>
        <w:pStyle w:val="CorpsdetexteEdito"/>
        <w:pBdr>
          <w:bottom w:val="single" w:sz="4" w:space="1" w:color="auto"/>
        </w:pBdr>
        <w:rPr>
          <w:i w:val="0"/>
          <w:sz w:val="22"/>
        </w:rPr>
      </w:pPr>
      <w:bookmarkStart w:id="507" w:name="_Toc518374245"/>
      <w:r w:rsidRPr="00181084">
        <w:rPr>
          <w:i w:val="0"/>
          <w:sz w:val="22"/>
        </w:rPr>
        <w:t>Assurance maladie et opérateurs dans le champ de la santé et du handicap</w:t>
      </w:r>
      <w:bookmarkEnd w:id="507"/>
    </w:p>
    <w:p w14:paraId="6C5FC11F" w14:textId="58FDDC08" w:rsidR="00332DA7" w:rsidRPr="00181084" w:rsidRDefault="00332DA7" w:rsidP="00181084">
      <w:pPr>
        <w:pStyle w:val="CorpsdetexteEdito"/>
        <w:rPr>
          <w:sz w:val="22"/>
          <w:u w:val="single"/>
        </w:rPr>
      </w:pPr>
      <w:r w:rsidRPr="00181084">
        <w:rPr>
          <w:sz w:val="22"/>
          <w:u w:val="single"/>
        </w:rPr>
        <w:t xml:space="preserve">Agences régionales de santé </w:t>
      </w:r>
    </w:p>
    <w:p w14:paraId="417BC4A4" w14:textId="30C3F29E" w:rsidR="00332DA7" w:rsidRPr="00FF6DC6" w:rsidRDefault="00332DA7" w:rsidP="00181084">
      <w:pPr>
        <w:pStyle w:val="Corpsdetexte"/>
      </w:pPr>
      <w:r w:rsidRPr="00FF6DC6">
        <w:t>L</w:t>
      </w:r>
      <w:r w:rsidRPr="00181084">
        <w:t>es directeurs du secteur médico social consulté</w:t>
      </w:r>
      <w:r w:rsidR="00F13B64">
        <w:t>s</w:t>
      </w:r>
      <w:r w:rsidRPr="00181084">
        <w:t xml:space="preserve"> lors de la réunion du 26 juin </w:t>
      </w:r>
      <w:r w:rsidR="00F13B64">
        <w:t>2018,</w:t>
      </w:r>
      <w:r w:rsidRPr="00181084">
        <w:t xml:space="preserve"> préparée avec l'aide de Patrick </w:t>
      </w:r>
      <w:r w:rsidR="00F13B64" w:rsidRPr="00181084">
        <w:t>R</w:t>
      </w:r>
      <w:r w:rsidR="00F13B64">
        <w:t>ISSELIN</w:t>
      </w:r>
      <w:r w:rsidR="00F13B64" w:rsidRPr="00181084">
        <w:t xml:space="preserve"> </w:t>
      </w:r>
      <w:r w:rsidRPr="00181084">
        <w:t>(SGMAS)</w:t>
      </w:r>
    </w:p>
    <w:p w14:paraId="3EED1995" w14:textId="77777777" w:rsidR="000A2DC9" w:rsidRPr="00181084" w:rsidRDefault="000A2DC9" w:rsidP="00181084">
      <w:pPr>
        <w:pStyle w:val="CorpsdetexteEdito"/>
        <w:rPr>
          <w:sz w:val="22"/>
          <w:u w:val="single"/>
        </w:rPr>
      </w:pPr>
      <w:r w:rsidRPr="00181084">
        <w:rPr>
          <w:sz w:val="22"/>
          <w:u w:val="single"/>
        </w:rPr>
        <w:t>Agence régionale de santé d’Ile-de-France</w:t>
      </w:r>
    </w:p>
    <w:p w14:paraId="28FB50C2" w14:textId="77777777" w:rsidR="000A2DC9" w:rsidRDefault="000A2DC9" w:rsidP="000A2DC9">
      <w:pPr>
        <w:pStyle w:val="Corpsdetexte"/>
      </w:pPr>
      <w:r>
        <w:t>Marc BOURQUIN, directeur de l’autonomie</w:t>
      </w:r>
    </w:p>
    <w:p w14:paraId="4C55DDF8" w14:textId="77777777" w:rsidR="000A2DC9" w:rsidRPr="003E55DB" w:rsidRDefault="000A2DC9" w:rsidP="000A2DC9">
      <w:pPr>
        <w:pStyle w:val="Corpsdetexte"/>
      </w:pPr>
      <w:r>
        <w:t>D</w:t>
      </w:r>
      <w:r w:rsidRPr="003E55DB">
        <w:t>r. Luc GINOT, directeur de la promotion de la santé et de la réduction des inégalités</w:t>
      </w:r>
    </w:p>
    <w:p w14:paraId="1531557A" w14:textId="77777777" w:rsidR="000A2DC9" w:rsidRPr="003E55DB" w:rsidRDefault="000A2DC9" w:rsidP="000A2DC9">
      <w:pPr>
        <w:pStyle w:val="Corpsdetexte"/>
      </w:pPr>
      <w:r w:rsidRPr="003E55DB">
        <w:t>Didier MARTY, dir</w:t>
      </w:r>
      <w:r>
        <w:t>ecteur adjoint, direction de l’a</w:t>
      </w:r>
      <w:r w:rsidRPr="003E55DB">
        <w:t>utonomie</w:t>
      </w:r>
    </w:p>
    <w:p w14:paraId="20A8EFC1" w14:textId="77777777" w:rsidR="000A2DC9" w:rsidRPr="003E55DB" w:rsidRDefault="000A2DC9" w:rsidP="000A2DC9">
      <w:pPr>
        <w:pStyle w:val="Corpsdetexte"/>
      </w:pPr>
      <w:r>
        <w:t>Dr. Catherine REY-QUINIO, c</w:t>
      </w:r>
      <w:r w:rsidRPr="003E55DB">
        <w:t>onseillèr</w:t>
      </w:r>
      <w:r>
        <w:t>e médicale, département o</w:t>
      </w:r>
      <w:r w:rsidRPr="003E55DB">
        <w:t>rganisation de l’offre « personne handicapée »</w:t>
      </w:r>
    </w:p>
    <w:p w14:paraId="0C028F11" w14:textId="316ED79B" w:rsidR="000A2DC9" w:rsidRPr="003E55DB" w:rsidRDefault="000A2DC9" w:rsidP="000A2DC9">
      <w:pPr>
        <w:pStyle w:val="Corpsdetexte"/>
      </w:pPr>
      <w:r w:rsidRPr="003E55DB">
        <w:t xml:space="preserve">Dr. Isabelle </w:t>
      </w:r>
      <w:r w:rsidRPr="00433573">
        <w:rPr>
          <w:caps/>
        </w:rPr>
        <w:t>Chabin-Gibert</w:t>
      </w:r>
      <w:r w:rsidRPr="003E55DB">
        <w:t>, référente cohésion sociale</w:t>
      </w:r>
      <w:r w:rsidR="00152A9E">
        <w:t xml:space="preserve"> </w:t>
      </w:r>
      <w:r w:rsidRPr="003E55DB">
        <w:t>/</w:t>
      </w:r>
      <w:r w:rsidR="00152A9E">
        <w:t xml:space="preserve"> </w:t>
      </w:r>
      <w:r w:rsidRPr="003E55DB">
        <w:t xml:space="preserve">précarité, </w:t>
      </w:r>
      <w:r w:rsidRPr="00611BE1">
        <w:t>département Grande précarité, PRAPS</w:t>
      </w:r>
    </w:p>
    <w:p w14:paraId="59372B62" w14:textId="77777777" w:rsidR="000A2DC9" w:rsidRPr="003E55DB" w:rsidRDefault="000A2DC9" w:rsidP="000A2DC9">
      <w:pPr>
        <w:pStyle w:val="Corpsdetexte"/>
      </w:pPr>
      <w:r w:rsidRPr="003E55DB">
        <w:t xml:space="preserve">Barbara </w:t>
      </w:r>
      <w:r w:rsidRPr="00433573">
        <w:rPr>
          <w:caps/>
        </w:rPr>
        <w:t>Bertini</w:t>
      </w:r>
      <w:r w:rsidRPr="003E55DB">
        <w:t>, coordinatrice PASS Ile-de-France</w:t>
      </w:r>
    </w:p>
    <w:p w14:paraId="34882EE3" w14:textId="77777777" w:rsidR="000A2DC9" w:rsidRPr="003E55DB" w:rsidRDefault="000A2DC9" w:rsidP="000A2DC9">
      <w:pPr>
        <w:pStyle w:val="Corpsdetexte"/>
      </w:pPr>
      <w:r w:rsidRPr="003E55DB">
        <w:t xml:space="preserve">Alain </w:t>
      </w:r>
      <w:r w:rsidRPr="00433573">
        <w:rPr>
          <w:caps/>
        </w:rPr>
        <w:t>Cordier</w:t>
      </w:r>
      <w:r>
        <w:rPr>
          <w:caps/>
        </w:rPr>
        <w:t xml:space="preserve">, </w:t>
      </w:r>
      <w:r>
        <w:t>conseiller spécial handicap auprès du directeur général</w:t>
      </w:r>
    </w:p>
    <w:p w14:paraId="677B7D99" w14:textId="77777777" w:rsidR="000A2DC9" w:rsidRPr="00181084" w:rsidRDefault="000A2DC9" w:rsidP="00181084">
      <w:pPr>
        <w:pStyle w:val="CorpsdetexteEdito"/>
        <w:rPr>
          <w:sz w:val="22"/>
          <w:u w:val="single"/>
        </w:rPr>
      </w:pPr>
      <w:r w:rsidRPr="00181084">
        <w:rPr>
          <w:sz w:val="22"/>
          <w:u w:val="single"/>
        </w:rPr>
        <w:t>Agence régionale de santé des Hauts de France</w:t>
      </w:r>
    </w:p>
    <w:p w14:paraId="078E4D33" w14:textId="683F6A44" w:rsidR="000A2DC9" w:rsidRDefault="000A2DC9" w:rsidP="000A2DC9">
      <w:pPr>
        <w:pStyle w:val="Corpsdetexte"/>
      </w:pPr>
      <w:r>
        <w:t>Monique RICOMES, directrice</w:t>
      </w:r>
    </w:p>
    <w:p w14:paraId="79343F3E" w14:textId="63DCAEDC" w:rsidR="000A2DC9" w:rsidRDefault="000A2DC9" w:rsidP="000A2DC9">
      <w:pPr>
        <w:pStyle w:val="Corpsdetexte"/>
      </w:pPr>
      <w:r w:rsidRPr="003E55DB">
        <w:t xml:space="preserve">Aline </w:t>
      </w:r>
      <w:r w:rsidRPr="00433573">
        <w:rPr>
          <w:caps/>
        </w:rPr>
        <w:t>Queverue</w:t>
      </w:r>
      <w:r>
        <w:t>, d</w:t>
      </w:r>
      <w:r w:rsidRPr="003E55DB">
        <w:t>irection médico-sociale</w:t>
      </w:r>
    </w:p>
    <w:p w14:paraId="646B23AF" w14:textId="77777777" w:rsidR="000A2DC9" w:rsidRPr="00181084" w:rsidRDefault="000A2DC9" w:rsidP="00181084">
      <w:pPr>
        <w:pStyle w:val="CorpsdetexteEdito"/>
        <w:rPr>
          <w:sz w:val="22"/>
          <w:u w:val="single"/>
        </w:rPr>
      </w:pPr>
      <w:r w:rsidRPr="00181084">
        <w:rPr>
          <w:sz w:val="22"/>
          <w:u w:val="single"/>
        </w:rPr>
        <w:t>Caisse nationale d’assurance maladie</w:t>
      </w:r>
    </w:p>
    <w:p w14:paraId="7D44DBA5" w14:textId="242D06F0" w:rsidR="000A2DC9" w:rsidRDefault="000A2DC9" w:rsidP="000A2DC9">
      <w:pPr>
        <w:pStyle w:val="Corpsdetexte"/>
      </w:pPr>
      <w:r w:rsidRPr="003E55DB">
        <w:lastRenderedPageBreak/>
        <w:t xml:space="preserve">Nicolas </w:t>
      </w:r>
      <w:r w:rsidRPr="00433573">
        <w:rPr>
          <w:caps/>
        </w:rPr>
        <w:t>Revel</w:t>
      </w:r>
      <w:r w:rsidRPr="003E55DB">
        <w:t>, directeur</w:t>
      </w:r>
      <w:r>
        <w:t xml:space="preserve"> général</w:t>
      </w:r>
    </w:p>
    <w:p w14:paraId="55AB386F" w14:textId="77777777" w:rsidR="000A2DC9" w:rsidRDefault="000A2DC9" w:rsidP="000A2DC9">
      <w:pPr>
        <w:pStyle w:val="Corpsdetexte"/>
      </w:pPr>
      <w:r>
        <w:t>Delphine CHAMPETIER, cabinet du directeur général</w:t>
      </w:r>
    </w:p>
    <w:p w14:paraId="24A0DEF4" w14:textId="77777777" w:rsidR="000A2DC9" w:rsidRDefault="000A2DC9" w:rsidP="000A2DC9">
      <w:pPr>
        <w:pStyle w:val="Corpsdetexte"/>
      </w:pPr>
      <w:r w:rsidRPr="003E55DB">
        <w:t xml:space="preserve">Anne </w:t>
      </w:r>
      <w:r w:rsidRPr="00433573">
        <w:rPr>
          <w:caps/>
        </w:rPr>
        <w:t>Moutel</w:t>
      </w:r>
      <w:r w:rsidRPr="003E55DB">
        <w:t>, directrice adjointe UGECAM</w:t>
      </w:r>
    </w:p>
    <w:p w14:paraId="4A960E4E" w14:textId="77777777" w:rsidR="000A2DC9" w:rsidRPr="003E55DB" w:rsidRDefault="000A2DC9" w:rsidP="000A2DC9">
      <w:pPr>
        <w:pStyle w:val="Corpsdetexte"/>
      </w:pPr>
      <w:r w:rsidRPr="003E55DB">
        <w:t xml:space="preserve">Richard </w:t>
      </w:r>
      <w:r w:rsidRPr="00433573">
        <w:rPr>
          <w:caps/>
        </w:rPr>
        <w:t>Vieau</w:t>
      </w:r>
      <w:r w:rsidRPr="003E55DB">
        <w:t xml:space="preserve">, </w:t>
      </w:r>
      <w:r w:rsidRPr="00611BE1">
        <w:t>responsable</w:t>
      </w:r>
      <w:r w:rsidRPr="003E55DB">
        <w:t xml:space="preserve"> du département de l'organisation et du marketing </w:t>
      </w:r>
    </w:p>
    <w:p w14:paraId="79AFB41A" w14:textId="77777777" w:rsidR="000A2DC9" w:rsidRPr="003E55DB" w:rsidRDefault="000A2DC9" w:rsidP="000A2DC9">
      <w:pPr>
        <w:pStyle w:val="Corpsdetexte"/>
      </w:pPr>
      <w:r w:rsidRPr="003E55DB">
        <w:t xml:space="preserve">Patricia </w:t>
      </w:r>
      <w:r w:rsidRPr="00433573">
        <w:rPr>
          <w:caps/>
        </w:rPr>
        <w:t>Vernay</w:t>
      </w:r>
      <w:r w:rsidRPr="003E55DB">
        <w:t xml:space="preserve">, </w:t>
      </w:r>
      <w:r w:rsidRPr="00611BE1">
        <w:t>responsable</w:t>
      </w:r>
      <w:r>
        <w:t xml:space="preserve"> du département a</w:t>
      </w:r>
      <w:r w:rsidRPr="003E55DB">
        <w:t>ccomp</w:t>
      </w:r>
      <w:r>
        <w:t>agnement des publics fragiles, d</w:t>
      </w:r>
      <w:r w:rsidRPr="003E55DB">
        <w:t>irection déléguée aux op</w:t>
      </w:r>
      <w:r w:rsidRPr="003E55DB">
        <w:t>é</w:t>
      </w:r>
      <w:r w:rsidRPr="003E55DB">
        <w:t>rations</w:t>
      </w:r>
    </w:p>
    <w:p w14:paraId="649D4D9E" w14:textId="6E6FF6EF" w:rsidR="000A2DC9" w:rsidRPr="003E55DB" w:rsidRDefault="000A2DC9" w:rsidP="000A2DC9">
      <w:pPr>
        <w:pStyle w:val="Corpsdetexte"/>
      </w:pPr>
      <w:r w:rsidRPr="003E55DB">
        <w:t xml:space="preserve">Camille </w:t>
      </w:r>
      <w:r w:rsidRPr="00433573">
        <w:rPr>
          <w:caps/>
        </w:rPr>
        <w:t>Oracz</w:t>
      </w:r>
      <w:r w:rsidRPr="003E55DB">
        <w:t>, consultante marketing</w:t>
      </w:r>
      <w:r>
        <w:t xml:space="preserve"> </w:t>
      </w:r>
      <w:r w:rsidR="005D22F8">
        <w:t>PFIDASS</w:t>
      </w:r>
    </w:p>
    <w:p w14:paraId="01B79020" w14:textId="77777777" w:rsidR="000A2DC9" w:rsidRPr="003E55DB" w:rsidRDefault="000A2DC9" w:rsidP="000A2DC9">
      <w:pPr>
        <w:pStyle w:val="Corpsdetexte"/>
      </w:pPr>
      <w:r w:rsidRPr="003E55DB">
        <w:t xml:space="preserve">François </w:t>
      </w:r>
      <w:r w:rsidRPr="00433573">
        <w:rPr>
          <w:caps/>
        </w:rPr>
        <w:t>Meurisse</w:t>
      </w:r>
      <w:r>
        <w:rPr>
          <w:caps/>
        </w:rPr>
        <w:t xml:space="preserve">, </w:t>
      </w:r>
      <w:r w:rsidRPr="00433573">
        <w:t>directeur de la conciliation</w:t>
      </w:r>
    </w:p>
    <w:p w14:paraId="7A20DA69" w14:textId="77777777" w:rsidR="000A2DC9" w:rsidRPr="003E55DB" w:rsidRDefault="000A2DC9" w:rsidP="000A2DC9">
      <w:pPr>
        <w:pStyle w:val="Corpsdetexte"/>
      </w:pPr>
      <w:r w:rsidRPr="003E55DB">
        <w:t xml:space="preserve">Annie </w:t>
      </w:r>
      <w:r w:rsidRPr="00433573">
        <w:rPr>
          <w:caps/>
        </w:rPr>
        <w:t>Laloum</w:t>
      </w:r>
      <w:r>
        <w:rPr>
          <w:caps/>
        </w:rPr>
        <w:t>,</w:t>
      </w:r>
      <w:r w:rsidRPr="00433573">
        <w:t xml:space="preserve"> adjointe</w:t>
      </w:r>
      <w:r>
        <w:t xml:space="preserve"> au directeur de la conciliation</w:t>
      </w:r>
    </w:p>
    <w:p w14:paraId="5967F697" w14:textId="77777777" w:rsidR="000A2DC9" w:rsidRDefault="000A2DC9" w:rsidP="000A2DC9">
      <w:pPr>
        <w:pStyle w:val="Corpsdetexte"/>
      </w:pPr>
      <w:r w:rsidRPr="003E55DB">
        <w:t xml:space="preserve">Christelle </w:t>
      </w:r>
      <w:r w:rsidRPr="00433573">
        <w:rPr>
          <w:caps/>
        </w:rPr>
        <w:t>Gastaldi-Ménager</w:t>
      </w:r>
      <w:r>
        <w:t>, responsable a</w:t>
      </w:r>
      <w:r w:rsidRPr="003E55DB">
        <w:t xml:space="preserve">djointe du </w:t>
      </w:r>
      <w:r>
        <w:t>département de la s</w:t>
      </w:r>
      <w:r w:rsidRPr="003E55DB">
        <w:t xml:space="preserve">tratégie, des </w:t>
      </w:r>
      <w:r>
        <w:t>études et des s</w:t>
      </w:r>
      <w:r w:rsidRPr="003E55DB">
        <w:t>tati</w:t>
      </w:r>
      <w:r w:rsidRPr="003E55DB">
        <w:t>s</w:t>
      </w:r>
      <w:r w:rsidRPr="003E55DB">
        <w:t>tiques</w:t>
      </w:r>
    </w:p>
    <w:p w14:paraId="046BE6C9" w14:textId="77777777" w:rsidR="000A2DC9" w:rsidRPr="003E55DB" w:rsidRDefault="000A2DC9" w:rsidP="000A2DC9">
      <w:pPr>
        <w:pStyle w:val="Corpsdetexte"/>
      </w:pPr>
      <w:r w:rsidRPr="003E55DB">
        <w:t xml:space="preserve">Martine </w:t>
      </w:r>
      <w:r w:rsidRPr="00433573">
        <w:rPr>
          <w:caps/>
        </w:rPr>
        <w:t>Thomas</w:t>
      </w:r>
      <w:r w:rsidRPr="003E55DB">
        <w:t xml:space="preserve">, </w:t>
      </w:r>
      <w:r>
        <w:t>s</w:t>
      </w:r>
      <w:r w:rsidRPr="003E55DB">
        <w:t xml:space="preserve">tatisticienne, </w:t>
      </w:r>
      <w:r>
        <w:t>d</w:t>
      </w:r>
      <w:r w:rsidRPr="003E55DB">
        <w:t>irection de</w:t>
      </w:r>
      <w:r>
        <w:t xml:space="preserve"> la stratégie, des études et des s</w:t>
      </w:r>
      <w:r w:rsidRPr="003E55DB">
        <w:t>tatistiques</w:t>
      </w:r>
    </w:p>
    <w:p w14:paraId="3A815E06" w14:textId="77777777" w:rsidR="000A2DC9" w:rsidRPr="003E55DB" w:rsidRDefault="000A2DC9" w:rsidP="000A2DC9">
      <w:pPr>
        <w:pStyle w:val="Corpsdetexte"/>
      </w:pPr>
      <w:r w:rsidRPr="003E55DB">
        <w:t xml:space="preserve">Fanny </w:t>
      </w:r>
      <w:r w:rsidRPr="00433573">
        <w:rPr>
          <w:caps/>
        </w:rPr>
        <w:t>Richard</w:t>
      </w:r>
      <w:r>
        <w:rPr>
          <w:caps/>
        </w:rPr>
        <w:t xml:space="preserve">, </w:t>
      </w:r>
      <w:r w:rsidRPr="00433573">
        <w:t>responsable de département de la réglementation</w:t>
      </w:r>
    </w:p>
    <w:p w14:paraId="1000DE14" w14:textId="77777777" w:rsidR="000A2DC9" w:rsidRPr="003E55DB" w:rsidRDefault="000A2DC9" w:rsidP="000A2DC9">
      <w:pPr>
        <w:pStyle w:val="Corpsdetexte"/>
      </w:pPr>
      <w:r w:rsidRPr="003E55DB">
        <w:t xml:space="preserve">Raphaelle </w:t>
      </w:r>
      <w:r w:rsidRPr="00433573">
        <w:rPr>
          <w:caps/>
        </w:rPr>
        <w:t>Verniolle</w:t>
      </w:r>
      <w:r>
        <w:rPr>
          <w:caps/>
        </w:rPr>
        <w:t xml:space="preserve">, </w:t>
      </w:r>
      <w:r w:rsidRPr="00433573">
        <w:t>responsable adjointe du département de la règlementation</w:t>
      </w:r>
    </w:p>
    <w:p w14:paraId="0C546D33" w14:textId="77777777" w:rsidR="000A2DC9" w:rsidRPr="003E55DB" w:rsidRDefault="000A2DC9" w:rsidP="000A2DC9">
      <w:pPr>
        <w:pStyle w:val="Corpsdetexte"/>
      </w:pPr>
      <w:r w:rsidRPr="003E55DB">
        <w:t xml:space="preserve">Annie </w:t>
      </w:r>
      <w:r w:rsidRPr="00433573">
        <w:rPr>
          <w:caps/>
        </w:rPr>
        <w:t>Fouard</w:t>
      </w:r>
      <w:r>
        <w:rPr>
          <w:caps/>
        </w:rPr>
        <w:t xml:space="preserve">, </w:t>
      </w:r>
      <w:r w:rsidRPr="00433573">
        <w:t>responsable département de l’hospitalisation</w:t>
      </w:r>
    </w:p>
    <w:p w14:paraId="1DEDFF64" w14:textId="77777777" w:rsidR="000A2DC9" w:rsidRPr="003E55DB" w:rsidRDefault="000A2DC9" w:rsidP="000A2DC9">
      <w:pPr>
        <w:pStyle w:val="Corpsdetexte"/>
      </w:pPr>
      <w:r w:rsidRPr="003E55DB">
        <w:t xml:space="preserve">Garménick </w:t>
      </w:r>
      <w:r w:rsidRPr="00433573">
        <w:rPr>
          <w:caps/>
        </w:rPr>
        <w:t>Leblanc</w:t>
      </w:r>
      <w:r w:rsidRPr="003E55DB">
        <w:t xml:space="preserve">, Coordinatrice de la cellule médico-sociale </w:t>
      </w:r>
    </w:p>
    <w:p w14:paraId="4E6B6C34" w14:textId="77777777" w:rsidR="000A2DC9" w:rsidRPr="00181084" w:rsidRDefault="000A2DC9" w:rsidP="00181084">
      <w:pPr>
        <w:pStyle w:val="CorpsdetexteEdito"/>
        <w:rPr>
          <w:sz w:val="22"/>
          <w:u w:val="single"/>
        </w:rPr>
      </w:pPr>
      <w:r w:rsidRPr="00181084">
        <w:rPr>
          <w:sz w:val="22"/>
          <w:u w:val="single"/>
        </w:rPr>
        <w:t>Caisse nationale de solidarité pour l'autonomie</w:t>
      </w:r>
    </w:p>
    <w:p w14:paraId="0A22EEAB" w14:textId="58610F2E" w:rsidR="000A2DC9" w:rsidRPr="001501A3" w:rsidRDefault="000A2DC9" w:rsidP="000A2DC9">
      <w:pPr>
        <w:pStyle w:val="Corpsdetexte"/>
      </w:pPr>
      <w:r w:rsidRPr="001501A3">
        <w:t xml:space="preserve">Anne </w:t>
      </w:r>
      <w:r w:rsidRPr="001501A3">
        <w:rPr>
          <w:caps/>
        </w:rPr>
        <w:t>Burstin</w:t>
      </w:r>
      <w:r w:rsidRPr="001501A3">
        <w:t>, directrice</w:t>
      </w:r>
    </w:p>
    <w:p w14:paraId="792ADF8C" w14:textId="77777777" w:rsidR="000A2DC9" w:rsidRDefault="000A2DC9" w:rsidP="000A2DC9">
      <w:pPr>
        <w:pStyle w:val="Corpsdetexte"/>
      </w:pPr>
      <w:r w:rsidRPr="001501A3">
        <w:t xml:space="preserve">Frédéric </w:t>
      </w:r>
      <w:r w:rsidRPr="001501A3">
        <w:rPr>
          <w:caps/>
        </w:rPr>
        <w:t>Laloue</w:t>
      </w:r>
      <w:r w:rsidRPr="001501A3">
        <w:t>, directeur adjoint</w:t>
      </w:r>
    </w:p>
    <w:p w14:paraId="7CCEFE5C" w14:textId="77777777" w:rsidR="000A2DC9" w:rsidRDefault="000A2DC9" w:rsidP="000A2DC9">
      <w:pPr>
        <w:pStyle w:val="Corpsdetexte"/>
      </w:pPr>
      <w:r>
        <w:t>Stéphane CORBIN, directeur de la compensation de la perte d’autonomie</w:t>
      </w:r>
    </w:p>
    <w:p w14:paraId="2C00FD0B" w14:textId="77777777" w:rsidR="000A2DC9" w:rsidRDefault="000A2DC9" w:rsidP="000A2DC9">
      <w:pPr>
        <w:pStyle w:val="Corpsdetexte"/>
      </w:pPr>
      <w:r>
        <w:t>Simon KIEFFER, directeur des établissements et services médico-sociaux</w:t>
      </w:r>
    </w:p>
    <w:p w14:paraId="3CF85EF2" w14:textId="77777777" w:rsidR="000A2DC9" w:rsidRDefault="000A2DC9" w:rsidP="000A2DC9">
      <w:pPr>
        <w:pStyle w:val="Corpsdetexte"/>
      </w:pPr>
      <w:r>
        <w:t>Frédéric TALLIER</w:t>
      </w:r>
      <w:r w:rsidRPr="00CE672F">
        <w:t>, expert médical secteur personnes handicapées</w:t>
      </w:r>
    </w:p>
    <w:p w14:paraId="1F5F3C7D" w14:textId="77777777" w:rsidR="000A2DC9" w:rsidRPr="00181084" w:rsidRDefault="000A2DC9" w:rsidP="00181084">
      <w:pPr>
        <w:pStyle w:val="CorpsdetexteEdito"/>
        <w:pBdr>
          <w:bottom w:val="single" w:sz="4" w:space="1" w:color="auto"/>
        </w:pBdr>
        <w:rPr>
          <w:i w:val="0"/>
          <w:sz w:val="22"/>
        </w:rPr>
      </w:pPr>
      <w:r w:rsidRPr="00181084">
        <w:rPr>
          <w:i w:val="0"/>
          <w:sz w:val="22"/>
        </w:rPr>
        <w:t>Fédération nationale de la mutualité française</w:t>
      </w:r>
    </w:p>
    <w:p w14:paraId="23A04155" w14:textId="77777777" w:rsidR="000A2DC9" w:rsidRPr="003E55DB" w:rsidRDefault="000A2DC9" w:rsidP="000A2DC9">
      <w:pPr>
        <w:pStyle w:val="Corpsdetexte"/>
      </w:pPr>
      <w:r w:rsidRPr="003E55DB">
        <w:t xml:space="preserve">Séverine </w:t>
      </w:r>
      <w:r w:rsidRPr="00433573">
        <w:rPr>
          <w:caps/>
        </w:rPr>
        <w:t>Salgado</w:t>
      </w:r>
      <w:r w:rsidRPr="003E55DB">
        <w:t>, directrice déléguée santé</w:t>
      </w:r>
    </w:p>
    <w:p w14:paraId="55F71D03" w14:textId="77777777" w:rsidR="000A2DC9" w:rsidRDefault="000A2DC9" w:rsidP="000A2DC9">
      <w:pPr>
        <w:pStyle w:val="Corpsdetexte"/>
      </w:pPr>
      <w:r w:rsidRPr="003E55DB">
        <w:t xml:space="preserve">Guénaëlle </w:t>
      </w:r>
      <w:r w:rsidRPr="00433573">
        <w:rPr>
          <w:caps/>
        </w:rPr>
        <w:t>Haumesser</w:t>
      </w:r>
      <w:r w:rsidRPr="003E55DB">
        <w:t>, directrice générale réseau</w:t>
      </w:r>
    </w:p>
    <w:p w14:paraId="0420F2B5" w14:textId="77777777" w:rsidR="000A2DC9" w:rsidRPr="00181084" w:rsidRDefault="000A2DC9" w:rsidP="00181084">
      <w:pPr>
        <w:pStyle w:val="CorpsdetexteEdito"/>
        <w:pBdr>
          <w:bottom w:val="single" w:sz="4" w:space="1" w:color="auto"/>
        </w:pBdr>
        <w:rPr>
          <w:i w:val="0"/>
          <w:sz w:val="22"/>
        </w:rPr>
      </w:pPr>
      <w:r w:rsidRPr="00181084">
        <w:rPr>
          <w:i w:val="0"/>
          <w:sz w:val="22"/>
        </w:rPr>
        <w:t>PASS de l’hôpital Saint-Antoine</w:t>
      </w:r>
    </w:p>
    <w:p w14:paraId="7F0BAB78" w14:textId="77777777" w:rsidR="000A2DC9" w:rsidRPr="003E55DB" w:rsidRDefault="000A2DC9" w:rsidP="000A2DC9">
      <w:pPr>
        <w:pStyle w:val="Corpsdetexte"/>
      </w:pPr>
      <w:r w:rsidRPr="003E55DB">
        <w:t>Dr Olivier CHA, Responsable UF Policlinique BAUDELAIRE, Pôle Urgences et aval</w:t>
      </w:r>
    </w:p>
    <w:p w14:paraId="7DBE10C1" w14:textId="77777777" w:rsidR="000A2DC9" w:rsidRDefault="000A2DC9" w:rsidP="000A2DC9">
      <w:pPr>
        <w:pStyle w:val="Corpsdetexte"/>
      </w:pPr>
      <w:r w:rsidRPr="003E55DB">
        <w:t>Dr Eida BUI, Praticien hospitalier</w:t>
      </w:r>
    </w:p>
    <w:p w14:paraId="7F95A72F" w14:textId="77777777" w:rsidR="000A2DC9" w:rsidRPr="00181084" w:rsidRDefault="000A2DC9" w:rsidP="00181084">
      <w:pPr>
        <w:pStyle w:val="CorpsdetexteEdito"/>
        <w:pBdr>
          <w:bottom w:val="single" w:sz="4" w:space="1" w:color="auto"/>
        </w:pBdr>
        <w:rPr>
          <w:i w:val="0"/>
          <w:sz w:val="22"/>
        </w:rPr>
      </w:pPr>
      <w:r w:rsidRPr="00181084">
        <w:rPr>
          <w:i w:val="0"/>
          <w:sz w:val="22"/>
        </w:rPr>
        <w:t>Conseil national de l’ordre des médecins</w:t>
      </w:r>
    </w:p>
    <w:p w14:paraId="2B3BA5A5" w14:textId="77777777" w:rsidR="000A2DC9" w:rsidRPr="003E55DB" w:rsidRDefault="000A2DC9" w:rsidP="000A2DC9">
      <w:pPr>
        <w:pStyle w:val="Corpsdetexte"/>
      </w:pPr>
      <w:r w:rsidRPr="003E55DB">
        <w:t xml:space="preserve">André </w:t>
      </w:r>
      <w:r w:rsidRPr="00433573">
        <w:rPr>
          <w:caps/>
        </w:rPr>
        <w:t>Deseur</w:t>
      </w:r>
      <w:r w:rsidRPr="003E55DB">
        <w:t>, vice-président</w:t>
      </w:r>
    </w:p>
    <w:p w14:paraId="2A4E7040" w14:textId="77777777" w:rsidR="000A2DC9" w:rsidRPr="00181084" w:rsidRDefault="000A2DC9" w:rsidP="00181084">
      <w:pPr>
        <w:pStyle w:val="CorpsdetexteEdito"/>
        <w:pBdr>
          <w:bottom w:val="single" w:sz="4" w:space="1" w:color="auto"/>
        </w:pBdr>
        <w:rPr>
          <w:i w:val="0"/>
          <w:sz w:val="22"/>
        </w:rPr>
      </w:pPr>
      <w:r w:rsidRPr="00181084">
        <w:rPr>
          <w:i w:val="0"/>
          <w:sz w:val="22"/>
        </w:rPr>
        <w:t>Haute autorité de la santé</w:t>
      </w:r>
    </w:p>
    <w:p w14:paraId="1E3521C4" w14:textId="1E90482E" w:rsidR="000A2DC9" w:rsidRDefault="000A2DC9" w:rsidP="000A2DC9">
      <w:pPr>
        <w:pStyle w:val="Corpsdetexte"/>
      </w:pPr>
      <w:r w:rsidRPr="003E55DB">
        <w:t xml:space="preserve">Katia </w:t>
      </w:r>
      <w:r w:rsidRPr="00433573">
        <w:rPr>
          <w:caps/>
        </w:rPr>
        <w:t>Julienne</w:t>
      </w:r>
      <w:r w:rsidRPr="003E55DB">
        <w:t>, directrice</w:t>
      </w:r>
    </w:p>
    <w:p w14:paraId="775D1FDC" w14:textId="6B4845FA" w:rsidR="000A2DC9" w:rsidRPr="003E55DB" w:rsidRDefault="001A2698" w:rsidP="000A2DC9">
      <w:pPr>
        <w:pStyle w:val="Corpsdetexte"/>
      </w:pPr>
      <w:r>
        <w:t xml:space="preserve">ARMANTERAS DE SAXE </w:t>
      </w:r>
      <w:r w:rsidR="000A2DC9">
        <w:t xml:space="preserve">Anne marie </w:t>
      </w:r>
    </w:p>
    <w:p w14:paraId="4A9C3BF3" w14:textId="77777777" w:rsidR="000A2DC9" w:rsidRPr="00181084" w:rsidRDefault="000A2DC9" w:rsidP="00181084">
      <w:pPr>
        <w:pStyle w:val="CorpsdetexteEdito"/>
        <w:pBdr>
          <w:bottom w:val="single" w:sz="4" w:space="1" w:color="auto"/>
        </w:pBdr>
        <w:rPr>
          <w:i w:val="0"/>
          <w:sz w:val="22"/>
        </w:rPr>
      </w:pPr>
      <w:r w:rsidRPr="00181084">
        <w:rPr>
          <w:i w:val="0"/>
          <w:sz w:val="22"/>
        </w:rPr>
        <w:t>Défenseur des droits</w:t>
      </w:r>
    </w:p>
    <w:p w14:paraId="66B4AB06" w14:textId="77777777" w:rsidR="000A2DC9" w:rsidRDefault="000A2DC9" w:rsidP="000A2DC9">
      <w:pPr>
        <w:pStyle w:val="Corpsdetexte"/>
      </w:pPr>
      <w:r w:rsidRPr="003E55DB">
        <w:t xml:space="preserve">Patrick </w:t>
      </w:r>
      <w:r w:rsidRPr="00433573">
        <w:rPr>
          <w:caps/>
        </w:rPr>
        <w:t>Gohet</w:t>
      </w:r>
      <w:r>
        <w:rPr>
          <w:caps/>
        </w:rPr>
        <w:t xml:space="preserve">, </w:t>
      </w:r>
      <w:r w:rsidRPr="00433573">
        <w:t>adjoint au défenseur des droits</w:t>
      </w:r>
    </w:p>
    <w:p w14:paraId="3C11E58A" w14:textId="77777777" w:rsidR="000A2DC9" w:rsidRDefault="000A2DC9" w:rsidP="000A2DC9">
      <w:pPr>
        <w:pStyle w:val="Corpsdetexte"/>
        <w:rPr>
          <w:caps/>
        </w:rPr>
      </w:pPr>
      <w:r w:rsidRPr="0096234C">
        <w:t xml:space="preserve">Vanessa </w:t>
      </w:r>
      <w:r w:rsidRPr="00433573">
        <w:rPr>
          <w:caps/>
        </w:rPr>
        <w:t>Pidderi</w:t>
      </w:r>
      <w:r>
        <w:rPr>
          <w:caps/>
        </w:rPr>
        <w:t xml:space="preserve">, </w:t>
      </w:r>
      <w:r w:rsidRPr="00433573">
        <w:t>chargée de mission</w:t>
      </w:r>
      <w:r>
        <w:rPr>
          <w:caps/>
        </w:rPr>
        <w:t xml:space="preserve"> </w:t>
      </w:r>
    </w:p>
    <w:p w14:paraId="292C554A" w14:textId="77777777" w:rsidR="000A2DC9" w:rsidRPr="00181084" w:rsidRDefault="000A2DC9" w:rsidP="00181084">
      <w:pPr>
        <w:pStyle w:val="CorpsdetexteEdito"/>
        <w:pBdr>
          <w:bottom w:val="single" w:sz="4" w:space="1" w:color="auto"/>
        </w:pBdr>
        <w:rPr>
          <w:i w:val="0"/>
          <w:sz w:val="22"/>
        </w:rPr>
      </w:pPr>
      <w:bookmarkStart w:id="508" w:name="_Toc518374247"/>
      <w:r w:rsidRPr="00181084">
        <w:rPr>
          <w:i w:val="0"/>
          <w:sz w:val="22"/>
        </w:rPr>
        <w:lastRenderedPageBreak/>
        <w:t>Associations</w:t>
      </w:r>
      <w:bookmarkEnd w:id="508"/>
      <w:r w:rsidRPr="00181084">
        <w:rPr>
          <w:i w:val="0"/>
          <w:sz w:val="22"/>
        </w:rPr>
        <w:t>, fédérations et conseils consultatifs</w:t>
      </w:r>
    </w:p>
    <w:p w14:paraId="24D0C057" w14:textId="77777777" w:rsidR="000A2DC9" w:rsidRPr="00181084" w:rsidRDefault="000A2DC9" w:rsidP="00181084">
      <w:pPr>
        <w:pStyle w:val="CorpsdetexteEdito"/>
        <w:rPr>
          <w:sz w:val="22"/>
          <w:u w:val="single"/>
        </w:rPr>
      </w:pPr>
      <w:r w:rsidRPr="00181084">
        <w:rPr>
          <w:sz w:val="22"/>
          <w:u w:val="single"/>
        </w:rPr>
        <w:t>AIDES</w:t>
      </w:r>
    </w:p>
    <w:p w14:paraId="776F95E1" w14:textId="77777777" w:rsidR="000A2DC9" w:rsidRDefault="000A2DC9" w:rsidP="000A2DC9">
      <w:pPr>
        <w:pStyle w:val="Corpsdetexte"/>
      </w:pPr>
      <w:r w:rsidRPr="003E55DB">
        <w:t xml:space="preserve">Caroline </w:t>
      </w:r>
      <w:r w:rsidRPr="009768BF">
        <w:rPr>
          <w:caps/>
        </w:rPr>
        <w:t>Izambert</w:t>
      </w:r>
      <w:r w:rsidRPr="003E55DB">
        <w:t xml:space="preserve"> </w:t>
      </w:r>
    </w:p>
    <w:p w14:paraId="0ED5D57F" w14:textId="77777777" w:rsidR="000A2DC9" w:rsidRPr="00181084" w:rsidRDefault="000A2DC9" w:rsidP="00181084">
      <w:pPr>
        <w:pStyle w:val="CorpsdetexteEdito"/>
        <w:rPr>
          <w:sz w:val="22"/>
          <w:u w:val="single"/>
        </w:rPr>
      </w:pPr>
      <w:r w:rsidRPr="00181084">
        <w:rPr>
          <w:sz w:val="22"/>
          <w:u w:val="single"/>
        </w:rPr>
        <w:t>Médecin du Monde</w:t>
      </w:r>
    </w:p>
    <w:p w14:paraId="3C6C2D3F" w14:textId="77777777" w:rsidR="000A2DC9" w:rsidRPr="00016036" w:rsidRDefault="000A2DC9" w:rsidP="000A2DC9">
      <w:pPr>
        <w:pStyle w:val="Corpsdetexte"/>
      </w:pPr>
      <w:r w:rsidRPr="00016036">
        <w:t xml:space="preserve">Delphine </w:t>
      </w:r>
      <w:r w:rsidRPr="00016036">
        <w:rPr>
          <w:caps/>
        </w:rPr>
        <w:t>Fanget</w:t>
      </w:r>
      <w:r w:rsidRPr="00016036">
        <w:t xml:space="preserve"> </w:t>
      </w:r>
    </w:p>
    <w:p w14:paraId="1D10A800" w14:textId="77777777" w:rsidR="000A2DC9" w:rsidRPr="00181084" w:rsidRDefault="000A2DC9" w:rsidP="00181084">
      <w:pPr>
        <w:pStyle w:val="CorpsdetexteEdito"/>
        <w:rPr>
          <w:sz w:val="22"/>
          <w:u w:val="single"/>
        </w:rPr>
      </w:pPr>
      <w:r w:rsidRPr="00181084">
        <w:rPr>
          <w:sz w:val="22"/>
          <w:u w:val="single"/>
        </w:rPr>
        <w:t>COMEDE</w:t>
      </w:r>
    </w:p>
    <w:p w14:paraId="2309C0DF" w14:textId="77777777" w:rsidR="000A2DC9" w:rsidRPr="00016036" w:rsidRDefault="000A2DC9" w:rsidP="000A2DC9">
      <w:pPr>
        <w:pStyle w:val="Corpsdetexte"/>
        <w:rPr>
          <w:caps/>
        </w:rPr>
      </w:pPr>
      <w:r w:rsidRPr="00016036">
        <w:t xml:space="preserve">Antoine </w:t>
      </w:r>
      <w:r w:rsidRPr="00016036">
        <w:rPr>
          <w:caps/>
        </w:rPr>
        <w:t>Math</w:t>
      </w:r>
    </w:p>
    <w:p w14:paraId="4838FFAE" w14:textId="77777777" w:rsidR="000A2DC9" w:rsidRPr="00016036" w:rsidRDefault="000A2DC9" w:rsidP="000A2DC9">
      <w:pPr>
        <w:pStyle w:val="Corpsdetexte"/>
      </w:pPr>
      <w:r w:rsidRPr="003E55DB">
        <w:t xml:space="preserve">Didier </w:t>
      </w:r>
      <w:r w:rsidRPr="009768BF">
        <w:rPr>
          <w:caps/>
        </w:rPr>
        <w:t>Maille</w:t>
      </w:r>
      <w:r w:rsidRPr="003E55DB">
        <w:t xml:space="preserve"> </w:t>
      </w:r>
      <w:r w:rsidRPr="00016036">
        <w:t xml:space="preserve"> </w:t>
      </w:r>
    </w:p>
    <w:p w14:paraId="4DB599CA" w14:textId="77777777" w:rsidR="000A2DC9" w:rsidRPr="00181084" w:rsidRDefault="000A2DC9" w:rsidP="00181084">
      <w:pPr>
        <w:pStyle w:val="CorpsdetexteEdito"/>
        <w:rPr>
          <w:sz w:val="22"/>
          <w:u w:val="single"/>
        </w:rPr>
      </w:pPr>
      <w:r w:rsidRPr="00181084">
        <w:rPr>
          <w:sz w:val="22"/>
          <w:u w:val="single"/>
        </w:rPr>
        <w:t>UNIOPSS</w:t>
      </w:r>
    </w:p>
    <w:p w14:paraId="4AD9C395" w14:textId="77777777" w:rsidR="000A2DC9" w:rsidRDefault="000A2DC9" w:rsidP="000A2DC9">
      <w:pPr>
        <w:pStyle w:val="Corpsdetexte"/>
      </w:pPr>
      <w:r w:rsidRPr="003E55DB">
        <w:t xml:space="preserve">Lorry </w:t>
      </w:r>
      <w:r w:rsidRPr="009768BF">
        <w:rPr>
          <w:caps/>
        </w:rPr>
        <w:t>Fradin</w:t>
      </w:r>
      <w:r w:rsidRPr="003E55DB">
        <w:t xml:space="preserve"> </w:t>
      </w:r>
    </w:p>
    <w:p w14:paraId="1F3105DF" w14:textId="77777777" w:rsidR="000A2DC9" w:rsidRPr="00181084" w:rsidRDefault="000A2DC9" w:rsidP="00181084">
      <w:pPr>
        <w:pStyle w:val="CorpsdetexteEdito"/>
        <w:rPr>
          <w:sz w:val="22"/>
          <w:u w:val="single"/>
        </w:rPr>
      </w:pPr>
      <w:r w:rsidRPr="00181084">
        <w:rPr>
          <w:sz w:val="22"/>
          <w:u w:val="single"/>
        </w:rPr>
        <w:t>FTCR</w:t>
      </w:r>
    </w:p>
    <w:p w14:paraId="36BAEE37" w14:textId="6CF1F896" w:rsidR="000A2DC9" w:rsidRDefault="000A2DC9" w:rsidP="000A2DC9">
      <w:pPr>
        <w:pStyle w:val="Corpsdetexte"/>
      </w:pPr>
      <w:r w:rsidRPr="003E55DB">
        <w:t xml:space="preserve">Sassi </w:t>
      </w:r>
      <w:r w:rsidR="00F13B64">
        <w:t>BEN MOUSSA</w:t>
      </w:r>
      <w:r w:rsidRPr="003E55DB">
        <w:t xml:space="preserve"> </w:t>
      </w:r>
    </w:p>
    <w:p w14:paraId="3C518248" w14:textId="77777777" w:rsidR="000A2DC9" w:rsidRPr="00181084" w:rsidRDefault="000A2DC9" w:rsidP="00181084">
      <w:pPr>
        <w:pStyle w:val="CorpsdetexteEdito"/>
        <w:rPr>
          <w:sz w:val="22"/>
          <w:u w:val="single"/>
        </w:rPr>
      </w:pPr>
      <w:r w:rsidRPr="00181084">
        <w:rPr>
          <w:sz w:val="22"/>
          <w:u w:val="single"/>
        </w:rPr>
        <w:t>France Assos Santé</w:t>
      </w:r>
    </w:p>
    <w:p w14:paraId="1DFFD6E1" w14:textId="77777777" w:rsidR="000A2DC9" w:rsidRDefault="000A2DC9" w:rsidP="000A2DC9">
      <w:pPr>
        <w:pStyle w:val="Corpsdetexte"/>
      </w:pPr>
      <w:r w:rsidRPr="003E55DB">
        <w:t xml:space="preserve">Patrick </w:t>
      </w:r>
      <w:r w:rsidRPr="009768BF">
        <w:rPr>
          <w:caps/>
        </w:rPr>
        <w:t>Mony</w:t>
      </w:r>
      <w:r w:rsidRPr="003E55DB">
        <w:t xml:space="preserve"> </w:t>
      </w:r>
    </w:p>
    <w:p w14:paraId="7AE33D97" w14:textId="77777777" w:rsidR="000A2DC9" w:rsidRPr="00181084" w:rsidRDefault="000A2DC9" w:rsidP="00181084">
      <w:pPr>
        <w:pStyle w:val="CorpsdetexteEdito"/>
        <w:rPr>
          <w:sz w:val="22"/>
          <w:u w:val="single"/>
        </w:rPr>
      </w:pPr>
      <w:r w:rsidRPr="00181084">
        <w:rPr>
          <w:sz w:val="22"/>
          <w:u w:val="single"/>
        </w:rPr>
        <w:t>UNAF</w:t>
      </w:r>
    </w:p>
    <w:p w14:paraId="7ABED179" w14:textId="77777777" w:rsidR="000A2DC9" w:rsidRPr="003E55DB" w:rsidRDefault="000A2DC9" w:rsidP="000A2DC9">
      <w:pPr>
        <w:pStyle w:val="Corpsdetexte"/>
      </w:pPr>
      <w:r w:rsidRPr="003E55DB">
        <w:t xml:space="preserve">Nathalie </w:t>
      </w:r>
      <w:r w:rsidRPr="00433573">
        <w:rPr>
          <w:caps/>
        </w:rPr>
        <w:t>Tellier</w:t>
      </w:r>
    </w:p>
    <w:p w14:paraId="05770679" w14:textId="77777777" w:rsidR="000A2DC9" w:rsidRPr="00181084" w:rsidRDefault="000A2DC9" w:rsidP="00181084">
      <w:pPr>
        <w:pStyle w:val="CorpsdetexteEdito"/>
        <w:rPr>
          <w:sz w:val="22"/>
          <w:u w:val="single"/>
        </w:rPr>
      </w:pPr>
      <w:r w:rsidRPr="00181084">
        <w:rPr>
          <w:sz w:val="22"/>
          <w:u w:val="single"/>
        </w:rPr>
        <w:t>Handidactique</w:t>
      </w:r>
    </w:p>
    <w:p w14:paraId="423FF8A5" w14:textId="19DA8F40" w:rsidR="000A2DC9" w:rsidRPr="003C1F30" w:rsidRDefault="000A2DC9" w:rsidP="000A2DC9">
      <w:pPr>
        <w:pStyle w:val="Corpsdetexte"/>
      </w:pPr>
      <w:r w:rsidRPr="003C1F30">
        <w:t xml:space="preserve">Pascal </w:t>
      </w:r>
      <w:r w:rsidR="00F13B64">
        <w:t>JACOB</w:t>
      </w:r>
    </w:p>
    <w:p w14:paraId="2B329D9F" w14:textId="77777777" w:rsidR="000A2DC9" w:rsidRPr="00181084" w:rsidRDefault="000A2DC9" w:rsidP="00181084">
      <w:pPr>
        <w:pStyle w:val="CorpsdetexteEdito"/>
        <w:rPr>
          <w:sz w:val="22"/>
          <w:u w:val="single"/>
        </w:rPr>
      </w:pPr>
      <w:r w:rsidRPr="00181084">
        <w:rPr>
          <w:sz w:val="22"/>
          <w:u w:val="single"/>
        </w:rPr>
        <w:t>FNATH</w:t>
      </w:r>
    </w:p>
    <w:p w14:paraId="4FD5A1C5" w14:textId="1CE8FD89" w:rsidR="000A2DC9" w:rsidRPr="00CE672F" w:rsidRDefault="000A2DC9" w:rsidP="000A2DC9">
      <w:pPr>
        <w:pStyle w:val="Corpsdetexte"/>
      </w:pPr>
      <w:r w:rsidRPr="00CE672F">
        <w:t>Arnaud de BROCAS</w:t>
      </w:r>
      <w:r>
        <w:t xml:space="preserve">, </w:t>
      </w:r>
      <w:r w:rsidR="00F13B64">
        <w:t>s</w:t>
      </w:r>
      <w:r>
        <w:t>ecrétaire général</w:t>
      </w:r>
    </w:p>
    <w:p w14:paraId="51ABE792" w14:textId="77777777" w:rsidR="000A2DC9" w:rsidRDefault="000A2DC9" w:rsidP="000A2DC9">
      <w:pPr>
        <w:pStyle w:val="Corpsdetexte"/>
      </w:pPr>
      <w:r w:rsidRPr="003E55DB">
        <w:t xml:space="preserve">Karim FELISSI, Conseiller </w:t>
      </w:r>
    </w:p>
    <w:p w14:paraId="4ADFA02F" w14:textId="77777777" w:rsidR="000A2DC9" w:rsidRPr="00181084" w:rsidRDefault="000A2DC9" w:rsidP="00F13B64">
      <w:pPr>
        <w:pStyle w:val="CorpsdetexteEdito"/>
        <w:rPr>
          <w:sz w:val="22"/>
          <w:u w:val="single"/>
        </w:rPr>
      </w:pPr>
      <w:r w:rsidRPr="00181084">
        <w:rPr>
          <w:sz w:val="22"/>
          <w:u w:val="single"/>
        </w:rPr>
        <w:t>Fédération des acteurs de la solidarité (FAS)</w:t>
      </w:r>
    </w:p>
    <w:p w14:paraId="0011043E" w14:textId="77777777" w:rsidR="000A2DC9" w:rsidRDefault="000A2DC9" w:rsidP="00F13B64">
      <w:pPr>
        <w:spacing w:before="120"/>
      </w:pPr>
      <w:r w:rsidRPr="003E55DB">
        <w:t xml:space="preserve">Marion </w:t>
      </w:r>
      <w:r w:rsidRPr="009768BF">
        <w:rPr>
          <w:caps/>
        </w:rPr>
        <w:t>Quach</w:t>
      </w:r>
      <w:r w:rsidRPr="003E55DB">
        <w:t>-</w:t>
      </w:r>
      <w:r w:rsidRPr="009768BF">
        <w:rPr>
          <w:caps/>
        </w:rPr>
        <w:t>hong</w:t>
      </w:r>
      <w:r>
        <w:t>, chargée de mission s</w:t>
      </w:r>
      <w:r w:rsidRPr="00F06E9E">
        <w:rPr>
          <w:color w:val="auto"/>
        </w:rPr>
        <w:t xml:space="preserve">anté et </w:t>
      </w:r>
      <w:r>
        <w:t>é</w:t>
      </w:r>
      <w:r w:rsidRPr="00F06E9E">
        <w:rPr>
          <w:color w:val="auto"/>
        </w:rPr>
        <w:t>tudes</w:t>
      </w:r>
    </w:p>
    <w:p w14:paraId="27DC77D8" w14:textId="77777777" w:rsidR="000A2DC9" w:rsidRPr="00181084" w:rsidRDefault="000A2DC9" w:rsidP="00181084">
      <w:pPr>
        <w:pStyle w:val="CorpsdetexteEdito"/>
        <w:rPr>
          <w:sz w:val="22"/>
          <w:u w:val="single"/>
        </w:rPr>
      </w:pPr>
      <w:r w:rsidRPr="00181084">
        <w:rPr>
          <w:sz w:val="22"/>
          <w:u w:val="single"/>
        </w:rPr>
        <w:t>Fédération nationale pour l’inclusion des personnes en situation de handicap sensoriel</w:t>
      </w:r>
    </w:p>
    <w:p w14:paraId="4FEE7196" w14:textId="315329A4" w:rsidR="000A2DC9" w:rsidRDefault="000A2DC9" w:rsidP="000A2DC9">
      <w:pPr>
        <w:pStyle w:val="Corpsdetexte"/>
      </w:pPr>
      <w:r>
        <w:t>Maurice BECCA</w:t>
      </w:r>
      <w:r w:rsidRPr="00433573">
        <w:rPr>
          <w:caps/>
        </w:rPr>
        <w:t>ri</w:t>
      </w:r>
      <w:r w:rsidRPr="003E55DB">
        <w:t>, directeur général</w:t>
      </w:r>
    </w:p>
    <w:p w14:paraId="09885FFC" w14:textId="77777777" w:rsidR="000A2DC9" w:rsidRPr="00181084" w:rsidRDefault="000A2DC9" w:rsidP="00181084">
      <w:pPr>
        <w:pStyle w:val="CorpsdetexteEdito"/>
        <w:rPr>
          <w:sz w:val="22"/>
          <w:u w:val="single"/>
        </w:rPr>
      </w:pPr>
      <w:r w:rsidRPr="00181084">
        <w:rPr>
          <w:sz w:val="22"/>
          <w:u w:val="single"/>
        </w:rPr>
        <w:t>APF France Handicap</w:t>
      </w:r>
    </w:p>
    <w:p w14:paraId="4FD70DE1" w14:textId="77777777" w:rsidR="000A2DC9" w:rsidRPr="00611BE1" w:rsidRDefault="000A2DC9" w:rsidP="000A2DC9">
      <w:pPr>
        <w:pStyle w:val="Corpsdetexte"/>
      </w:pPr>
      <w:r w:rsidRPr="00611BE1">
        <w:t xml:space="preserve">Prosper </w:t>
      </w:r>
      <w:r w:rsidRPr="00433573">
        <w:rPr>
          <w:caps/>
        </w:rPr>
        <w:t>Teboul</w:t>
      </w:r>
      <w:r>
        <w:rPr>
          <w:caps/>
        </w:rPr>
        <w:t xml:space="preserve">, </w:t>
      </w:r>
      <w:r>
        <w:t>directeur général</w:t>
      </w:r>
    </w:p>
    <w:p w14:paraId="083C4795" w14:textId="77777777" w:rsidR="000A2DC9" w:rsidRPr="003E55DB" w:rsidRDefault="000A2DC9" w:rsidP="000A2DC9">
      <w:pPr>
        <w:pStyle w:val="Corpsdetexte"/>
      </w:pPr>
      <w:r w:rsidRPr="003E55DB">
        <w:t xml:space="preserve">Aude </w:t>
      </w:r>
      <w:r w:rsidRPr="00433573">
        <w:rPr>
          <w:caps/>
        </w:rPr>
        <w:t>Bourden</w:t>
      </w:r>
      <w:r w:rsidRPr="003E55DB">
        <w:t>, conseillère nationale Santé-Médico-social, direction développement associatif et politiques d’inclusion</w:t>
      </w:r>
    </w:p>
    <w:p w14:paraId="0B92E69D" w14:textId="77777777" w:rsidR="000A2DC9" w:rsidRPr="008E441A" w:rsidRDefault="000A2DC9" w:rsidP="000A2DC9">
      <w:pPr>
        <w:pStyle w:val="Corpsdetexte"/>
      </w:pPr>
      <w:r w:rsidRPr="008E441A">
        <w:t xml:space="preserve">Pierre-Yves </w:t>
      </w:r>
      <w:r w:rsidRPr="008E441A">
        <w:rPr>
          <w:caps/>
        </w:rPr>
        <w:t>Lenen</w:t>
      </w:r>
      <w:r>
        <w:rPr>
          <w:caps/>
        </w:rPr>
        <w:t xml:space="preserve">, </w:t>
      </w:r>
      <w:r>
        <w:t>directeur du développement et de l’offre de service</w:t>
      </w:r>
    </w:p>
    <w:p w14:paraId="1DA5D374" w14:textId="77777777" w:rsidR="000A2DC9" w:rsidRPr="008E441A" w:rsidRDefault="000A2DC9" w:rsidP="000A2DC9">
      <w:pPr>
        <w:pStyle w:val="Corpsdetexte"/>
      </w:pPr>
      <w:r w:rsidRPr="008E441A">
        <w:t xml:space="preserve">Suzanne </w:t>
      </w:r>
      <w:r w:rsidRPr="008E441A">
        <w:rPr>
          <w:caps/>
        </w:rPr>
        <w:t>Malissard</w:t>
      </w:r>
      <w:r>
        <w:rPr>
          <w:caps/>
        </w:rPr>
        <w:t xml:space="preserve">, </w:t>
      </w:r>
      <w:r>
        <w:t xml:space="preserve">chef de projet offre de service </w:t>
      </w:r>
    </w:p>
    <w:p w14:paraId="7DADC860" w14:textId="77777777" w:rsidR="000A2DC9" w:rsidRPr="00181084" w:rsidRDefault="000A2DC9" w:rsidP="00181084">
      <w:pPr>
        <w:pStyle w:val="CorpsdetexteEdito"/>
        <w:rPr>
          <w:sz w:val="22"/>
          <w:u w:val="single"/>
        </w:rPr>
      </w:pPr>
      <w:r w:rsidRPr="00181084">
        <w:rPr>
          <w:sz w:val="22"/>
          <w:u w:val="single"/>
        </w:rPr>
        <w:t>Samu Social</w:t>
      </w:r>
    </w:p>
    <w:p w14:paraId="0EED16C5" w14:textId="77777777" w:rsidR="000A2DC9" w:rsidRPr="003E55DB" w:rsidRDefault="000A2DC9" w:rsidP="000A2DC9">
      <w:pPr>
        <w:pStyle w:val="Corpsdetexte"/>
      </w:pPr>
      <w:r w:rsidRPr="003E55DB">
        <w:t xml:space="preserve">Christine </w:t>
      </w:r>
      <w:r w:rsidRPr="00433573">
        <w:rPr>
          <w:caps/>
        </w:rPr>
        <w:t>Laconde</w:t>
      </w:r>
      <w:r w:rsidRPr="003E55DB">
        <w:t>, directrice</w:t>
      </w:r>
      <w:r>
        <w:t xml:space="preserve"> du Samu social Paris</w:t>
      </w:r>
    </w:p>
    <w:p w14:paraId="388F3BD7" w14:textId="77777777" w:rsidR="000A2DC9" w:rsidRPr="00181084" w:rsidRDefault="000A2DC9" w:rsidP="00181084">
      <w:pPr>
        <w:pStyle w:val="CorpsdetexteEdito"/>
        <w:rPr>
          <w:sz w:val="22"/>
          <w:u w:val="single"/>
        </w:rPr>
      </w:pPr>
      <w:r w:rsidRPr="00181084">
        <w:rPr>
          <w:sz w:val="22"/>
          <w:u w:val="single"/>
        </w:rPr>
        <w:t>Laboratoire d’idées ATD Quart-Monde</w:t>
      </w:r>
    </w:p>
    <w:p w14:paraId="69F76A64" w14:textId="77777777" w:rsidR="000A2DC9" w:rsidRPr="003E55DB" w:rsidRDefault="000A2DC9" w:rsidP="000A2DC9">
      <w:pPr>
        <w:pStyle w:val="Corpsdetexte"/>
      </w:pPr>
      <w:r w:rsidRPr="003E55DB">
        <w:t>Huguette BOISSONNAT</w:t>
      </w:r>
    </w:p>
    <w:p w14:paraId="53B95C83" w14:textId="77777777" w:rsidR="000A2DC9" w:rsidRPr="003E55DB" w:rsidRDefault="000A2DC9" w:rsidP="000A2DC9">
      <w:pPr>
        <w:pStyle w:val="Corpsdetexte"/>
      </w:pPr>
      <w:r w:rsidRPr="003E55DB">
        <w:t>Catherine CORBEAU</w:t>
      </w:r>
    </w:p>
    <w:p w14:paraId="091EF3CC" w14:textId="77777777" w:rsidR="000A2DC9" w:rsidRPr="003E55DB" w:rsidRDefault="000A2DC9" w:rsidP="000A2DC9">
      <w:pPr>
        <w:pStyle w:val="Corpsdetexte"/>
      </w:pPr>
      <w:r w:rsidRPr="003E55DB">
        <w:lastRenderedPageBreak/>
        <w:t>Chantal SIBUE</w:t>
      </w:r>
    </w:p>
    <w:p w14:paraId="037B834C" w14:textId="77777777" w:rsidR="000A2DC9" w:rsidRPr="003E55DB" w:rsidRDefault="000A2DC9" w:rsidP="000A2DC9">
      <w:pPr>
        <w:pStyle w:val="Corpsdetexte"/>
      </w:pPr>
      <w:r w:rsidRPr="003E55DB">
        <w:t>Aquilina FERREIRA</w:t>
      </w:r>
    </w:p>
    <w:p w14:paraId="3468B834" w14:textId="77777777" w:rsidR="000A2DC9" w:rsidRPr="003E55DB" w:rsidRDefault="000A2DC9" w:rsidP="000A2DC9">
      <w:pPr>
        <w:pStyle w:val="Corpsdetexte"/>
      </w:pPr>
      <w:r w:rsidRPr="003E55DB">
        <w:t>Micheline ADOBATI</w:t>
      </w:r>
    </w:p>
    <w:p w14:paraId="306F6235" w14:textId="77777777" w:rsidR="000A2DC9" w:rsidRPr="003E55DB" w:rsidRDefault="000A2DC9" w:rsidP="000A2DC9">
      <w:pPr>
        <w:pStyle w:val="Corpsdetexte"/>
      </w:pPr>
      <w:r w:rsidRPr="003E55DB">
        <w:t>Viviane TIRLICIEN</w:t>
      </w:r>
    </w:p>
    <w:p w14:paraId="3C175163" w14:textId="13276D03" w:rsidR="000A2DC9" w:rsidRDefault="000A2DC9" w:rsidP="000A2DC9">
      <w:pPr>
        <w:pStyle w:val="Corpsdetexte"/>
      </w:pPr>
      <w:r w:rsidRPr="003E55DB">
        <w:t xml:space="preserve">Marie-France ZIMMER </w:t>
      </w:r>
    </w:p>
    <w:p w14:paraId="2314CD5D" w14:textId="77777777" w:rsidR="00585B0B" w:rsidRDefault="006E1F6C" w:rsidP="000A2DC9">
      <w:pPr>
        <w:pStyle w:val="Corpsdetexte"/>
      </w:pPr>
      <w:r>
        <w:t>Oriane</w:t>
      </w:r>
      <w:r w:rsidR="00585B0B">
        <w:t xml:space="preserve"> CHAPELLE</w:t>
      </w:r>
    </w:p>
    <w:p w14:paraId="6A8DCFE6" w14:textId="7017227A" w:rsidR="006E1F6C" w:rsidRPr="003E55DB" w:rsidRDefault="006E1F6C" w:rsidP="000A2DC9">
      <w:pPr>
        <w:pStyle w:val="Corpsdetexte"/>
      </w:pPr>
      <w:r>
        <w:t>Olivier CHAPELLE</w:t>
      </w:r>
    </w:p>
    <w:p w14:paraId="659A1D67" w14:textId="77777777" w:rsidR="000A2DC9" w:rsidRPr="003E55DB" w:rsidRDefault="000A2DC9" w:rsidP="000A2DC9">
      <w:pPr>
        <w:pStyle w:val="Corpsdetexte"/>
      </w:pPr>
      <w:r w:rsidRPr="003E55DB">
        <w:t>Georges MOUTON</w:t>
      </w:r>
    </w:p>
    <w:p w14:paraId="6466DB79" w14:textId="77777777" w:rsidR="000A2DC9" w:rsidRPr="003E55DB" w:rsidRDefault="000A2DC9" w:rsidP="000A2DC9">
      <w:pPr>
        <w:pStyle w:val="Corpsdetexte"/>
      </w:pPr>
      <w:r w:rsidRPr="003E55DB">
        <w:t>Béatrice MOUTON</w:t>
      </w:r>
    </w:p>
    <w:p w14:paraId="58FE8FBD" w14:textId="77777777" w:rsidR="000A2DC9" w:rsidRPr="003E55DB" w:rsidRDefault="000A2DC9" w:rsidP="000A2DC9">
      <w:pPr>
        <w:pStyle w:val="Corpsdetexte"/>
      </w:pPr>
      <w:r w:rsidRPr="003E55DB">
        <w:t xml:space="preserve">Marc MATRANGA </w:t>
      </w:r>
    </w:p>
    <w:p w14:paraId="38DD3D3F" w14:textId="77777777" w:rsidR="000A2DC9" w:rsidRPr="003E55DB" w:rsidRDefault="000A2DC9" w:rsidP="000A2DC9">
      <w:pPr>
        <w:pStyle w:val="Corpsdetexte"/>
      </w:pPr>
      <w:r w:rsidRPr="003E55DB">
        <w:t>Danielle MATRANGA</w:t>
      </w:r>
    </w:p>
    <w:p w14:paraId="1A836FD5" w14:textId="77777777" w:rsidR="000A2DC9" w:rsidRPr="003E55DB" w:rsidRDefault="000A2DC9" w:rsidP="000A2DC9">
      <w:pPr>
        <w:pStyle w:val="Corpsdetexte"/>
      </w:pPr>
      <w:r w:rsidRPr="003E55DB">
        <w:t>Yves JEANJEAN</w:t>
      </w:r>
    </w:p>
    <w:p w14:paraId="3F65FEF8" w14:textId="77777777" w:rsidR="000A2DC9" w:rsidRPr="003E55DB" w:rsidRDefault="000A2DC9" w:rsidP="000A2DC9">
      <w:pPr>
        <w:pStyle w:val="Corpsdetexte"/>
      </w:pPr>
      <w:r w:rsidRPr="003E55DB">
        <w:t>Lucette LOISSE</w:t>
      </w:r>
    </w:p>
    <w:p w14:paraId="46F33999" w14:textId="77777777" w:rsidR="000A2DC9" w:rsidRPr="003E55DB" w:rsidRDefault="000A2DC9" w:rsidP="000A2DC9">
      <w:pPr>
        <w:pStyle w:val="Corpsdetexte"/>
      </w:pPr>
      <w:r w:rsidRPr="003E55DB">
        <w:t xml:space="preserve">Patricia </w:t>
      </w:r>
      <w:r w:rsidRPr="00433573">
        <w:rPr>
          <w:caps/>
        </w:rPr>
        <w:t>COUCHOT</w:t>
      </w:r>
    </w:p>
    <w:p w14:paraId="7BF583B0" w14:textId="77777777" w:rsidR="000A2DC9" w:rsidRPr="00181084" w:rsidRDefault="000A2DC9" w:rsidP="00181084">
      <w:pPr>
        <w:pStyle w:val="CorpsdetexteEdito"/>
        <w:rPr>
          <w:sz w:val="22"/>
          <w:u w:val="single"/>
        </w:rPr>
      </w:pPr>
      <w:r w:rsidRPr="00181084">
        <w:rPr>
          <w:sz w:val="22"/>
          <w:u w:val="single"/>
        </w:rPr>
        <w:t>CASO La Plaine-Saint-Denis</w:t>
      </w:r>
    </w:p>
    <w:p w14:paraId="14C9E05D" w14:textId="77777777" w:rsidR="000A2DC9" w:rsidRDefault="000A2DC9" w:rsidP="000A2DC9">
      <w:pPr>
        <w:pStyle w:val="Corpsdetexte"/>
      </w:pPr>
      <w:r w:rsidRPr="003E55DB">
        <w:t xml:space="preserve">Adeline </w:t>
      </w:r>
      <w:r>
        <w:t>GRIPPON</w:t>
      </w:r>
    </w:p>
    <w:p w14:paraId="1FB11924" w14:textId="77777777" w:rsidR="000A2DC9" w:rsidRPr="003E55DB" w:rsidRDefault="000A2DC9" w:rsidP="000A2DC9">
      <w:pPr>
        <w:pStyle w:val="Corpsdetexte"/>
      </w:pPr>
      <w:r w:rsidRPr="00433573">
        <w:t>Brice</w:t>
      </w:r>
      <w:r>
        <w:t xml:space="preserve"> GUILLAUME</w:t>
      </w:r>
    </w:p>
    <w:p w14:paraId="681E4D3F" w14:textId="77777777" w:rsidR="000A2DC9" w:rsidRPr="00181084" w:rsidRDefault="000A2DC9" w:rsidP="00181084">
      <w:pPr>
        <w:pStyle w:val="CorpsdetexteEdito"/>
        <w:rPr>
          <w:sz w:val="22"/>
          <w:u w:val="single"/>
        </w:rPr>
      </w:pPr>
      <w:r w:rsidRPr="00181084">
        <w:rPr>
          <w:sz w:val="22"/>
          <w:u w:val="single"/>
        </w:rPr>
        <w:t>La croix rouge française</w:t>
      </w:r>
    </w:p>
    <w:p w14:paraId="6D865B8D" w14:textId="77777777" w:rsidR="000A2DC9" w:rsidRPr="003E55DB" w:rsidRDefault="000A2DC9" w:rsidP="000A2DC9">
      <w:pPr>
        <w:pStyle w:val="Corpsdetexte"/>
      </w:pPr>
      <w:r w:rsidRPr="003E55DB">
        <w:t xml:space="preserve">Céline </w:t>
      </w:r>
      <w:r w:rsidRPr="00433573">
        <w:rPr>
          <w:caps/>
        </w:rPr>
        <w:t>Poulet</w:t>
      </w:r>
      <w:r w:rsidRPr="003E55DB">
        <w:t>, déléguée nationale, Personnes en situation de Handicap, Direction des Métiers et de la Formation</w:t>
      </w:r>
    </w:p>
    <w:p w14:paraId="56731F1E" w14:textId="5E714D3F" w:rsidR="000A2DC9" w:rsidRPr="003E55DB" w:rsidRDefault="000A2DC9" w:rsidP="000A2DC9">
      <w:pPr>
        <w:pStyle w:val="Corpsdetexte"/>
      </w:pPr>
      <w:r w:rsidRPr="003E55DB">
        <w:t xml:space="preserve">Stéphanie </w:t>
      </w:r>
      <w:r w:rsidRPr="00433573">
        <w:rPr>
          <w:caps/>
        </w:rPr>
        <w:t>Giron</w:t>
      </w:r>
      <w:r w:rsidRPr="003E55DB">
        <w:t xml:space="preserve">, </w:t>
      </w:r>
      <w:r w:rsidR="00F13B64">
        <w:t>c</w:t>
      </w:r>
      <w:r w:rsidRPr="003E55DB">
        <w:t>hargée de mission Santé Précarité, Département Action Sociale</w:t>
      </w:r>
    </w:p>
    <w:p w14:paraId="197D9525" w14:textId="77777777" w:rsidR="000A2DC9" w:rsidRPr="003E55DB" w:rsidRDefault="000A2DC9" w:rsidP="000A2DC9">
      <w:pPr>
        <w:pStyle w:val="Corpsdetexte"/>
      </w:pPr>
      <w:r w:rsidRPr="003E55DB">
        <w:t xml:space="preserve">Malik </w:t>
      </w:r>
      <w:r w:rsidRPr="00433573">
        <w:rPr>
          <w:caps/>
        </w:rPr>
        <w:t>Berkani</w:t>
      </w:r>
      <w:r w:rsidRPr="003E55DB">
        <w:t xml:space="preserve">, délégué national lutte contre les exclusions </w:t>
      </w:r>
    </w:p>
    <w:p w14:paraId="01CF7EB7" w14:textId="77777777" w:rsidR="000A2DC9" w:rsidRPr="00181084" w:rsidRDefault="000A2DC9" w:rsidP="00181084">
      <w:pPr>
        <w:pStyle w:val="CorpsdetexteEdito"/>
        <w:rPr>
          <w:sz w:val="22"/>
          <w:u w:val="single"/>
        </w:rPr>
      </w:pPr>
      <w:r w:rsidRPr="00181084">
        <w:rPr>
          <w:sz w:val="22"/>
          <w:u w:val="single"/>
        </w:rPr>
        <w:t>UNAFAM</w:t>
      </w:r>
    </w:p>
    <w:p w14:paraId="103CF6E5" w14:textId="3BAD4D78" w:rsidR="000A2DC9" w:rsidRPr="003E55DB" w:rsidRDefault="000A2DC9" w:rsidP="000A2DC9">
      <w:pPr>
        <w:pStyle w:val="Corpsdetexte"/>
      </w:pPr>
      <w:r w:rsidRPr="003E55DB">
        <w:t xml:space="preserve">Marie-Jeanne  </w:t>
      </w:r>
      <w:r w:rsidRPr="00433573">
        <w:rPr>
          <w:caps/>
        </w:rPr>
        <w:t>Richard</w:t>
      </w:r>
      <w:r w:rsidRPr="003E55DB">
        <w:t xml:space="preserve">, </w:t>
      </w:r>
      <w:r w:rsidR="00F13B64">
        <w:t>v</w:t>
      </w:r>
      <w:r w:rsidRPr="003E55DB">
        <w:t xml:space="preserve">ice-présidente </w:t>
      </w:r>
    </w:p>
    <w:p w14:paraId="0DD85C74" w14:textId="77777777" w:rsidR="000A2DC9" w:rsidRPr="003E55DB" w:rsidRDefault="000A2DC9" w:rsidP="000A2DC9">
      <w:pPr>
        <w:pStyle w:val="Corpsdetexte"/>
      </w:pPr>
      <w:r w:rsidRPr="003E55DB">
        <w:t xml:space="preserve">Jocelyne </w:t>
      </w:r>
      <w:r w:rsidRPr="00433573">
        <w:rPr>
          <w:caps/>
        </w:rPr>
        <w:t>Viateau</w:t>
      </w:r>
    </w:p>
    <w:p w14:paraId="405F8D88" w14:textId="77777777" w:rsidR="000A2DC9" w:rsidRPr="00181084" w:rsidRDefault="000A2DC9" w:rsidP="00181084">
      <w:pPr>
        <w:pStyle w:val="CorpsdetexteEdito"/>
        <w:rPr>
          <w:sz w:val="22"/>
          <w:u w:val="single"/>
        </w:rPr>
      </w:pPr>
      <w:r w:rsidRPr="00181084">
        <w:rPr>
          <w:sz w:val="22"/>
          <w:u w:val="single"/>
        </w:rPr>
        <w:t>Conseil national des personnes accueillies et accompagnées</w:t>
      </w:r>
    </w:p>
    <w:p w14:paraId="2CC56782" w14:textId="0281B76F" w:rsidR="000A2DC9" w:rsidRPr="003E55DB" w:rsidRDefault="000A2DC9" w:rsidP="000A2DC9">
      <w:pPr>
        <w:pStyle w:val="Corpsdetexte"/>
      </w:pPr>
      <w:r w:rsidRPr="003E55DB">
        <w:t xml:space="preserve">Blandine </w:t>
      </w:r>
      <w:r w:rsidRPr="00433573">
        <w:rPr>
          <w:caps/>
        </w:rPr>
        <w:t>Maisonneuve</w:t>
      </w:r>
      <w:r w:rsidRPr="003E55DB">
        <w:t xml:space="preserve">, </w:t>
      </w:r>
      <w:r w:rsidR="00F13B64">
        <w:t>c</w:t>
      </w:r>
      <w:r w:rsidRPr="003E55DB">
        <w:t>hef</w:t>
      </w:r>
      <w:r w:rsidR="00F13B64">
        <w:t>fe</w:t>
      </w:r>
      <w:r w:rsidRPr="003E55DB">
        <w:t xml:space="preserve"> de projet sur la participation et la citoyenneté des personnes accompagnées</w:t>
      </w:r>
    </w:p>
    <w:p w14:paraId="2C20BC8C" w14:textId="77777777" w:rsidR="000A2DC9" w:rsidRPr="003E55DB" w:rsidRDefault="000A2DC9" w:rsidP="000A2DC9">
      <w:pPr>
        <w:pStyle w:val="Corpsdetexte"/>
      </w:pPr>
      <w:r w:rsidRPr="003E55DB">
        <w:t xml:space="preserve">Thierry </w:t>
      </w:r>
      <w:r w:rsidRPr="00433573">
        <w:rPr>
          <w:caps/>
        </w:rPr>
        <w:t>Renaut</w:t>
      </w:r>
      <w:r w:rsidRPr="003E55DB">
        <w:t>, délégué</w:t>
      </w:r>
    </w:p>
    <w:p w14:paraId="7EEE03EC" w14:textId="77777777" w:rsidR="000A2DC9" w:rsidRPr="003E55DB" w:rsidRDefault="000A2DC9" w:rsidP="000A2DC9">
      <w:pPr>
        <w:pStyle w:val="Corpsdetexte"/>
      </w:pPr>
      <w:r w:rsidRPr="003E55DB">
        <w:t xml:space="preserve">Yasmina </w:t>
      </w:r>
      <w:r w:rsidRPr="00433573">
        <w:rPr>
          <w:caps/>
        </w:rPr>
        <w:t>Younes</w:t>
      </w:r>
      <w:r w:rsidRPr="003E55DB">
        <w:t>, déléguée</w:t>
      </w:r>
    </w:p>
    <w:p w14:paraId="0C19765D" w14:textId="77777777" w:rsidR="000A2DC9" w:rsidRPr="003E55DB" w:rsidRDefault="000A2DC9" w:rsidP="000A2DC9">
      <w:pPr>
        <w:pStyle w:val="Corpsdetexte"/>
      </w:pPr>
      <w:r w:rsidRPr="003E55DB">
        <w:t xml:space="preserve">Aldo </w:t>
      </w:r>
      <w:r w:rsidRPr="00433573">
        <w:rPr>
          <w:caps/>
        </w:rPr>
        <w:t>Maggire</w:t>
      </w:r>
      <w:r w:rsidRPr="003E55DB">
        <w:t>, délégué</w:t>
      </w:r>
    </w:p>
    <w:p w14:paraId="47DE8A8D" w14:textId="77777777" w:rsidR="000A2DC9" w:rsidRPr="003E55DB" w:rsidRDefault="000A2DC9" w:rsidP="000A2DC9">
      <w:pPr>
        <w:pStyle w:val="Corpsdetexte"/>
      </w:pPr>
      <w:r w:rsidRPr="003E55DB">
        <w:t xml:space="preserve">Annette </w:t>
      </w:r>
      <w:r w:rsidRPr="00433573">
        <w:rPr>
          <w:caps/>
        </w:rPr>
        <w:t>Bradschaw</w:t>
      </w:r>
      <w:r w:rsidRPr="003E55DB">
        <w:t>-Jones, déléguée</w:t>
      </w:r>
    </w:p>
    <w:p w14:paraId="3F7628FA" w14:textId="77777777" w:rsidR="000A2DC9" w:rsidRPr="003E55DB" w:rsidRDefault="000A2DC9" w:rsidP="000A2DC9">
      <w:pPr>
        <w:pStyle w:val="Corpsdetexte"/>
      </w:pPr>
      <w:r w:rsidRPr="003E55DB">
        <w:t xml:space="preserve">Bernadette </w:t>
      </w:r>
      <w:r w:rsidRPr="00433573">
        <w:rPr>
          <w:caps/>
        </w:rPr>
        <w:t>Silliau</w:t>
      </w:r>
      <w:r w:rsidRPr="003E55DB">
        <w:t>, déléguée</w:t>
      </w:r>
    </w:p>
    <w:p w14:paraId="330ECBEC" w14:textId="77777777" w:rsidR="000A2DC9" w:rsidRPr="00181084" w:rsidRDefault="000A2DC9" w:rsidP="00181084">
      <w:pPr>
        <w:pStyle w:val="CorpsdetexteEdito"/>
        <w:rPr>
          <w:sz w:val="22"/>
          <w:u w:val="single"/>
        </w:rPr>
      </w:pPr>
      <w:r w:rsidRPr="00181084">
        <w:rPr>
          <w:sz w:val="22"/>
          <w:u w:val="single"/>
        </w:rPr>
        <w:t>Conseil national consultatif des personnes handicapées</w:t>
      </w:r>
    </w:p>
    <w:p w14:paraId="59B1F30D" w14:textId="14879899" w:rsidR="000A2DC9" w:rsidRPr="003E55DB" w:rsidRDefault="000A2DC9" w:rsidP="000A2DC9">
      <w:pPr>
        <w:pStyle w:val="Corpsdetexte"/>
      </w:pPr>
      <w:r w:rsidRPr="003E55DB">
        <w:t xml:space="preserve">Dominique </w:t>
      </w:r>
      <w:r w:rsidRPr="00433573">
        <w:rPr>
          <w:caps/>
        </w:rPr>
        <w:t>Gillot</w:t>
      </w:r>
      <w:r w:rsidRPr="003E55DB">
        <w:t>, présidente</w:t>
      </w:r>
    </w:p>
    <w:p w14:paraId="1AC61D28" w14:textId="4EB1895F" w:rsidR="000A2DC9" w:rsidRPr="003E55DB" w:rsidRDefault="000A2DC9" w:rsidP="000A2DC9">
      <w:pPr>
        <w:pStyle w:val="Corpsdetexte"/>
      </w:pPr>
      <w:r w:rsidRPr="003E55DB">
        <w:t xml:space="preserve">Céline </w:t>
      </w:r>
      <w:r w:rsidRPr="00433573">
        <w:rPr>
          <w:caps/>
        </w:rPr>
        <w:t>Poulet</w:t>
      </w:r>
      <w:r w:rsidR="00EE3E7D">
        <w:t xml:space="preserve"> et les membres </w:t>
      </w:r>
      <w:r w:rsidRPr="003E55DB">
        <w:t>de la commission santé, bien-être et bien-traitante du CNCPH</w:t>
      </w:r>
    </w:p>
    <w:p w14:paraId="3D593C6E" w14:textId="77777777" w:rsidR="000A2DC9" w:rsidRPr="003E55DB" w:rsidRDefault="000A2DC9" w:rsidP="000A2DC9">
      <w:pPr>
        <w:pStyle w:val="Corpsdetexte"/>
      </w:pPr>
      <w:r w:rsidRPr="003E55DB">
        <w:t>Commission santé, bien-être et bien-traitante du conseil national consultatif des personnes handicapées</w:t>
      </w:r>
    </w:p>
    <w:p w14:paraId="23702AF1" w14:textId="77777777" w:rsidR="000A2DC9" w:rsidRPr="00181084" w:rsidRDefault="000A2DC9" w:rsidP="00181084">
      <w:pPr>
        <w:pStyle w:val="CorpsdetexteEdito"/>
        <w:rPr>
          <w:sz w:val="22"/>
          <w:u w:val="single"/>
        </w:rPr>
      </w:pPr>
      <w:r w:rsidRPr="00181084">
        <w:rPr>
          <w:sz w:val="22"/>
          <w:u w:val="single"/>
        </w:rPr>
        <w:t>UNAPEI</w:t>
      </w:r>
    </w:p>
    <w:p w14:paraId="212C375E" w14:textId="77777777" w:rsidR="000A2DC9" w:rsidRPr="00905048" w:rsidRDefault="000A2DC9" w:rsidP="000A2DC9">
      <w:pPr>
        <w:pStyle w:val="Corpsdetexte"/>
      </w:pPr>
      <w:r w:rsidRPr="00905048">
        <w:lastRenderedPageBreak/>
        <w:t xml:space="preserve">Hélène </w:t>
      </w:r>
      <w:r w:rsidRPr="00905048">
        <w:rPr>
          <w:caps/>
        </w:rPr>
        <w:t>Cemeur</w:t>
      </w:r>
      <w:r w:rsidRPr="00905048">
        <w:t>, directrice</w:t>
      </w:r>
    </w:p>
    <w:p w14:paraId="3854E67E" w14:textId="77777777" w:rsidR="000A2DC9" w:rsidRPr="00905048" w:rsidRDefault="000A2DC9" w:rsidP="000A2DC9">
      <w:pPr>
        <w:pStyle w:val="Corpsdetexte"/>
      </w:pPr>
      <w:r w:rsidRPr="00905048">
        <w:t xml:space="preserve">Pierre </w:t>
      </w:r>
      <w:r w:rsidRPr="00905048">
        <w:rPr>
          <w:caps/>
        </w:rPr>
        <w:t>Laugier</w:t>
      </w:r>
      <w:r w:rsidRPr="00905048">
        <w:t>, vice-président</w:t>
      </w:r>
    </w:p>
    <w:p w14:paraId="2C1B4558" w14:textId="77777777" w:rsidR="000A2DC9" w:rsidRDefault="000A2DC9" w:rsidP="000A2DC9">
      <w:pPr>
        <w:pStyle w:val="Corpsdetexte"/>
      </w:pPr>
      <w:r w:rsidRPr="00905048">
        <w:t xml:space="preserve">Clémence </w:t>
      </w:r>
      <w:r w:rsidRPr="00905048">
        <w:rPr>
          <w:caps/>
        </w:rPr>
        <w:t>Vaugelade</w:t>
      </w:r>
      <w:r w:rsidRPr="00905048">
        <w:t>, chargée de plaidoyer</w:t>
      </w:r>
    </w:p>
    <w:p w14:paraId="2D400514" w14:textId="77777777" w:rsidR="000A2DC9" w:rsidRPr="00181084" w:rsidRDefault="000A2DC9" w:rsidP="00181084">
      <w:pPr>
        <w:pStyle w:val="CorpsdetexteEdito"/>
        <w:pBdr>
          <w:bottom w:val="single" w:sz="4" w:space="1" w:color="auto"/>
        </w:pBdr>
        <w:rPr>
          <w:i w:val="0"/>
          <w:sz w:val="22"/>
        </w:rPr>
      </w:pPr>
      <w:bookmarkStart w:id="509" w:name="_Toc518374249"/>
      <w:r w:rsidRPr="00181084">
        <w:rPr>
          <w:i w:val="0"/>
          <w:sz w:val="22"/>
        </w:rPr>
        <w:t>Fédérations</w:t>
      </w:r>
      <w:bookmarkEnd w:id="509"/>
      <w:r w:rsidRPr="00181084">
        <w:rPr>
          <w:i w:val="0"/>
          <w:sz w:val="22"/>
        </w:rPr>
        <w:t xml:space="preserve"> hospitalières</w:t>
      </w:r>
    </w:p>
    <w:p w14:paraId="0C0FAE61" w14:textId="77777777" w:rsidR="000A2DC9" w:rsidRPr="00181084" w:rsidRDefault="000A2DC9" w:rsidP="00181084">
      <w:pPr>
        <w:pStyle w:val="CorpsdetexteEdito"/>
        <w:rPr>
          <w:sz w:val="22"/>
          <w:u w:val="single"/>
        </w:rPr>
      </w:pPr>
      <w:r w:rsidRPr="00181084">
        <w:rPr>
          <w:sz w:val="22"/>
          <w:u w:val="single"/>
        </w:rPr>
        <w:t xml:space="preserve">Fédération des établissements hospitaliers et d’aide à la personne (FEHAP) </w:t>
      </w:r>
    </w:p>
    <w:p w14:paraId="50A1781C" w14:textId="30F5E486" w:rsidR="000A2DC9" w:rsidRPr="003E55DB" w:rsidRDefault="000A2DC9" w:rsidP="000A2DC9">
      <w:pPr>
        <w:pStyle w:val="Corpsdetexte"/>
      </w:pPr>
      <w:r w:rsidRPr="003E55DB">
        <w:t xml:space="preserve">Julien </w:t>
      </w:r>
      <w:r w:rsidRPr="00433573">
        <w:rPr>
          <w:caps/>
        </w:rPr>
        <w:t>Moreau</w:t>
      </w:r>
      <w:r w:rsidRPr="003E55DB">
        <w:t xml:space="preserve">, </w:t>
      </w:r>
      <w:r w:rsidR="00F13B64">
        <w:t>d</w:t>
      </w:r>
      <w:r w:rsidRPr="003E55DB">
        <w:t>irecteur de l’Autonomie et de la Coordination des parcours de vie</w:t>
      </w:r>
    </w:p>
    <w:p w14:paraId="5D899ED7" w14:textId="77777777" w:rsidR="000A2DC9" w:rsidRPr="003E55DB" w:rsidRDefault="000A2DC9" w:rsidP="000A2DC9">
      <w:pPr>
        <w:pStyle w:val="Corpsdetexte"/>
      </w:pPr>
      <w:r w:rsidRPr="003E55DB">
        <w:t xml:space="preserve">Laurent </w:t>
      </w:r>
      <w:r w:rsidRPr="00433573">
        <w:rPr>
          <w:caps/>
        </w:rPr>
        <w:t>Perazzo</w:t>
      </w:r>
      <w:r w:rsidRPr="003E55DB">
        <w:t>, adjoint de direction, direction de l’autonomie et de la coordination des parcours de vie</w:t>
      </w:r>
    </w:p>
    <w:p w14:paraId="039F81B0" w14:textId="28D2956E" w:rsidR="000A2DC9" w:rsidRPr="003E55DB" w:rsidRDefault="000A2DC9" w:rsidP="000A2DC9">
      <w:pPr>
        <w:pStyle w:val="Corpsdetexte"/>
      </w:pPr>
      <w:r w:rsidRPr="003E55DB">
        <w:t xml:space="preserve">Bérangère </w:t>
      </w:r>
      <w:r w:rsidRPr="00433573">
        <w:rPr>
          <w:caps/>
        </w:rPr>
        <w:t>Chatellier</w:t>
      </w:r>
      <w:r w:rsidR="00F13B64">
        <w:rPr>
          <w:caps/>
        </w:rPr>
        <w:t>,</w:t>
      </w:r>
      <w:r w:rsidRPr="003E55DB">
        <w:t xml:space="preserve"> conseillère enfance et jeunesse (petite enfance, enfance en situation de handicap), dire</w:t>
      </w:r>
      <w:r w:rsidRPr="003E55DB">
        <w:t>c</w:t>
      </w:r>
      <w:r w:rsidRPr="003E55DB">
        <w:t>tion de l’autonomie et de la coordination des parcours de vie</w:t>
      </w:r>
    </w:p>
    <w:p w14:paraId="193EFFC7" w14:textId="77777777" w:rsidR="000A2DC9" w:rsidRPr="003E55DB" w:rsidRDefault="000A2DC9" w:rsidP="000A2DC9">
      <w:pPr>
        <w:pStyle w:val="Corpsdetexte"/>
      </w:pPr>
      <w:r w:rsidRPr="003E55DB">
        <w:t xml:space="preserve">Dr. Françoise </w:t>
      </w:r>
      <w:r w:rsidRPr="00433573">
        <w:rPr>
          <w:caps/>
        </w:rPr>
        <w:t>Durandière</w:t>
      </w:r>
      <w:r w:rsidRPr="003E55DB">
        <w:t>, conseillère médicale, Pôle santé-social </w:t>
      </w:r>
    </w:p>
    <w:p w14:paraId="20E729AC" w14:textId="77777777" w:rsidR="000A2DC9" w:rsidRPr="00181084" w:rsidRDefault="000A2DC9" w:rsidP="00181084">
      <w:pPr>
        <w:pStyle w:val="CorpsdetexteEdito"/>
        <w:rPr>
          <w:sz w:val="22"/>
          <w:u w:val="single"/>
        </w:rPr>
      </w:pPr>
      <w:r w:rsidRPr="00181084">
        <w:rPr>
          <w:sz w:val="22"/>
          <w:u w:val="single"/>
        </w:rPr>
        <w:t>Fédération Hospitalière de France (FHF)</w:t>
      </w:r>
    </w:p>
    <w:p w14:paraId="5F365DAF" w14:textId="77777777" w:rsidR="000A2DC9" w:rsidRPr="003E55DB" w:rsidRDefault="000A2DC9" w:rsidP="000A2DC9">
      <w:pPr>
        <w:pStyle w:val="Corpsdetexte"/>
      </w:pPr>
      <w:r w:rsidRPr="003E55DB">
        <w:t xml:space="preserve">Annie </w:t>
      </w:r>
      <w:r w:rsidRPr="00433573">
        <w:t>L</w:t>
      </w:r>
      <w:r>
        <w:t>ELIEVRE, responsable du secteur médico-social</w:t>
      </w:r>
    </w:p>
    <w:p w14:paraId="43B4F73D" w14:textId="77777777" w:rsidR="000A2DC9" w:rsidRDefault="000A2DC9" w:rsidP="000A2DC9">
      <w:pPr>
        <w:pStyle w:val="Corpsdetexte"/>
      </w:pPr>
      <w:r>
        <w:t xml:space="preserve">Cécile </w:t>
      </w:r>
      <w:r w:rsidRPr="00433573">
        <w:rPr>
          <w:caps/>
        </w:rPr>
        <w:t>Chevance</w:t>
      </w:r>
      <w:r>
        <w:t>, responsable pôle financier</w:t>
      </w:r>
    </w:p>
    <w:p w14:paraId="107DB1E2" w14:textId="77777777" w:rsidR="000A2DC9" w:rsidRPr="00181084" w:rsidRDefault="000A2DC9" w:rsidP="00181084">
      <w:pPr>
        <w:pStyle w:val="CorpsdetexteEdito"/>
        <w:pBdr>
          <w:bottom w:val="single" w:sz="4" w:space="1" w:color="auto"/>
        </w:pBdr>
        <w:rPr>
          <w:i w:val="0"/>
          <w:sz w:val="22"/>
        </w:rPr>
      </w:pPr>
      <w:bookmarkStart w:id="510" w:name="_Toc518374250"/>
      <w:r w:rsidRPr="00181084">
        <w:rPr>
          <w:i w:val="0"/>
          <w:sz w:val="22"/>
        </w:rPr>
        <w:t>Instituts de recherche</w:t>
      </w:r>
      <w:bookmarkEnd w:id="510"/>
    </w:p>
    <w:p w14:paraId="411DF2F5" w14:textId="77777777" w:rsidR="000A2DC9" w:rsidRPr="00181084" w:rsidRDefault="000A2DC9" w:rsidP="00181084">
      <w:pPr>
        <w:pStyle w:val="CorpsdetexteEdito"/>
        <w:rPr>
          <w:sz w:val="22"/>
          <w:u w:val="single"/>
        </w:rPr>
      </w:pPr>
      <w:r w:rsidRPr="00181084">
        <w:rPr>
          <w:sz w:val="22"/>
          <w:u w:val="single"/>
        </w:rPr>
        <w:t>Institut de recherche et documentation en économie de la santé (IRDES)</w:t>
      </w:r>
    </w:p>
    <w:p w14:paraId="34FE8243" w14:textId="77777777" w:rsidR="000A2DC9" w:rsidRPr="003E55DB" w:rsidRDefault="000A2DC9" w:rsidP="000A2DC9">
      <w:pPr>
        <w:pStyle w:val="Corpsdetexte"/>
      </w:pPr>
      <w:r w:rsidRPr="003E55DB">
        <w:t xml:space="preserve">Paul </w:t>
      </w:r>
      <w:r w:rsidRPr="00433573">
        <w:t>DOURGNON</w:t>
      </w:r>
    </w:p>
    <w:p w14:paraId="22D81557" w14:textId="77777777" w:rsidR="000A2DC9" w:rsidRPr="003E55DB" w:rsidRDefault="000A2DC9" w:rsidP="000A2DC9">
      <w:pPr>
        <w:pStyle w:val="Corpsdetexte"/>
      </w:pPr>
      <w:r w:rsidRPr="003E55DB">
        <w:t xml:space="preserve">Marc </w:t>
      </w:r>
      <w:r w:rsidRPr="00433573">
        <w:t>PERRONNIN</w:t>
      </w:r>
      <w:r w:rsidRPr="003E55DB">
        <w:t xml:space="preserve"> </w:t>
      </w:r>
    </w:p>
    <w:p w14:paraId="56B76BA4" w14:textId="77777777" w:rsidR="000A2DC9" w:rsidRPr="003E55DB" w:rsidRDefault="000A2DC9" w:rsidP="000A2DC9">
      <w:pPr>
        <w:pStyle w:val="Corpsdetexte"/>
      </w:pPr>
      <w:r w:rsidRPr="003E55DB">
        <w:t xml:space="preserve">Sylvain </w:t>
      </w:r>
      <w:r>
        <w:t>PICHETTI</w:t>
      </w:r>
    </w:p>
    <w:p w14:paraId="55A965E4" w14:textId="77777777" w:rsidR="000A2DC9" w:rsidRPr="003E55DB" w:rsidRDefault="000A2DC9" w:rsidP="000A2DC9">
      <w:pPr>
        <w:pStyle w:val="Corpsdetexte"/>
      </w:pPr>
      <w:r w:rsidRPr="003E55DB">
        <w:t xml:space="preserve">Anne </w:t>
      </w:r>
      <w:r w:rsidRPr="00433573">
        <w:t>P</w:t>
      </w:r>
      <w:r>
        <w:t>ENNEAU</w:t>
      </w:r>
    </w:p>
    <w:p w14:paraId="5EB6CA92" w14:textId="77777777" w:rsidR="000A2DC9" w:rsidRPr="00181084" w:rsidRDefault="000A2DC9" w:rsidP="00181084">
      <w:pPr>
        <w:pStyle w:val="Corpsdetexte"/>
        <w:rPr>
          <w:b/>
          <w:i/>
          <w:sz w:val="22"/>
          <w:u w:val="single"/>
        </w:rPr>
      </w:pPr>
      <w:r w:rsidRPr="00181084">
        <w:rPr>
          <w:b/>
          <w:i/>
          <w:sz w:val="22"/>
          <w:u w:val="single"/>
        </w:rPr>
        <w:t>Observatoire du non-recours aux droits et services (Odenore)</w:t>
      </w:r>
    </w:p>
    <w:p w14:paraId="25862EB7" w14:textId="77777777" w:rsidR="000A2DC9" w:rsidRPr="003E55DB" w:rsidRDefault="000A2DC9" w:rsidP="000A2DC9">
      <w:pPr>
        <w:pStyle w:val="Corpsdetexte"/>
      </w:pPr>
      <w:r w:rsidRPr="003E55DB">
        <w:t xml:space="preserve">Philippe </w:t>
      </w:r>
      <w:r w:rsidRPr="00433573">
        <w:rPr>
          <w:caps/>
        </w:rPr>
        <w:t>Warin</w:t>
      </w:r>
    </w:p>
    <w:p w14:paraId="27BAD6A2" w14:textId="77777777" w:rsidR="000A2DC9" w:rsidRPr="003E55DB" w:rsidRDefault="000A2DC9" w:rsidP="000A2DC9">
      <w:pPr>
        <w:pStyle w:val="Corpsdetexte"/>
      </w:pPr>
      <w:r w:rsidRPr="003E55DB">
        <w:t xml:space="preserve">Héléna </w:t>
      </w:r>
      <w:r w:rsidRPr="00433573">
        <w:rPr>
          <w:caps/>
        </w:rPr>
        <w:t>Revil</w:t>
      </w:r>
    </w:p>
    <w:p w14:paraId="45C8C883" w14:textId="77777777" w:rsidR="000A2DC9" w:rsidRPr="00181084" w:rsidRDefault="000A2DC9" w:rsidP="00181084">
      <w:pPr>
        <w:pStyle w:val="CorpsdetexteEdito"/>
        <w:pBdr>
          <w:bottom w:val="single" w:sz="4" w:space="1" w:color="auto"/>
        </w:pBdr>
        <w:rPr>
          <w:i w:val="0"/>
          <w:sz w:val="22"/>
        </w:rPr>
      </w:pPr>
      <w:bookmarkStart w:id="511" w:name="_Toc518374248"/>
      <w:r w:rsidRPr="00181084">
        <w:rPr>
          <w:i w:val="0"/>
          <w:sz w:val="22"/>
        </w:rPr>
        <w:t>Personnalités qualifiées</w:t>
      </w:r>
      <w:bookmarkEnd w:id="511"/>
    </w:p>
    <w:p w14:paraId="42C12441" w14:textId="77777777" w:rsidR="000A2DC9" w:rsidRDefault="000A2DC9" w:rsidP="000A2DC9">
      <w:pPr>
        <w:pStyle w:val="Corpsdetexte"/>
        <w:rPr>
          <w:caps/>
        </w:rPr>
      </w:pPr>
      <w:r w:rsidRPr="003E55DB">
        <w:t xml:space="preserve">Pascal </w:t>
      </w:r>
      <w:r w:rsidRPr="00433573">
        <w:rPr>
          <w:caps/>
        </w:rPr>
        <w:t>Jacob</w:t>
      </w:r>
    </w:p>
    <w:p w14:paraId="0698A337" w14:textId="77777777" w:rsidR="000A2DC9" w:rsidRPr="003E55DB" w:rsidRDefault="000A2DC9" w:rsidP="000A2DC9">
      <w:pPr>
        <w:pStyle w:val="Corpsdetexte"/>
      </w:pPr>
      <w:r w:rsidRPr="003E55DB">
        <w:t xml:space="preserve">Denis </w:t>
      </w:r>
      <w:r w:rsidRPr="00433573">
        <w:rPr>
          <w:caps/>
        </w:rPr>
        <w:t>Piveteau</w:t>
      </w:r>
      <w:r>
        <w:t>, conseiller d’Etat</w:t>
      </w:r>
    </w:p>
    <w:p w14:paraId="28BA210A" w14:textId="77777777" w:rsidR="000A2DC9" w:rsidRPr="003E55DB" w:rsidRDefault="000A2DC9" w:rsidP="000A2DC9">
      <w:pPr>
        <w:pStyle w:val="Corpsdetexte"/>
      </w:pPr>
      <w:r w:rsidRPr="003E55DB">
        <w:t xml:space="preserve">Professeur Albert </w:t>
      </w:r>
      <w:r w:rsidRPr="00433573">
        <w:rPr>
          <w:caps/>
        </w:rPr>
        <w:t>Spira</w:t>
      </w:r>
      <w:r w:rsidRPr="003E55DB">
        <w:t xml:space="preserve"> (Académie de médecine)</w:t>
      </w:r>
    </w:p>
    <w:p w14:paraId="07924EFC" w14:textId="77777777" w:rsidR="000A2DC9" w:rsidRPr="003E55DB" w:rsidRDefault="000A2DC9" w:rsidP="000A2DC9">
      <w:pPr>
        <w:pStyle w:val="Corpsdetexte"/>
      </w:pPr>
      <w:r w:rsidRPr="003E55DB">
        <w:t xml:space="preserve">Professeur Pierre </w:t>
      </w:r>
      <w:r w:rsidRPr="00433573">
        <w:rPr>
          <w:caps/>
        </w:rPr>
        <w:t>Bégué</w:t>
      </w:r>
      <w:r w:rsidRPr="003E55DB">
        <w:t xml:space="preserve"> (Académie de médecine)</w:t>
      </w:r>
      <w:r w:rsidRPr="00433573">
        <w:rPr>
          <w:highlight w:val="yellow"/>
        </w:rPr>
        <w:t xml:space="preserve"> </w:t>
      </w:r>
    </w:p>
    <w:p w14:paraId="12ECBE91" w14:textId="77777777" w:rsidR="000A2DC9" w:rsidRPr="003E55DB" w:rsidRDefault="000A2DC9" w:rsidP="000A2DC9">
      <w:pPr>
        <w:pStyle w:val="Corpsdetexte"/>
      </w:pPr>
      <w:r w:rsidRPr="003E55DB">
        <w:t xml:space="preserve">Marie-Sophie </w:t>
      </w:r>
      <w:r w:rsidRPr="00433573">
        <w:rPr>
          <w:caps/>
        </w:rPr>
        <w:t>Desaulle</w:t>
      </w:r>
      <w:r>
        <w:t>, vice-présidente FEHAP</w:t>
      </w:r>
    </w:p>
    <w:p w14:paraId="1F5769D0" w14:textId="77777777" w:rsidR="000A2DC9" w:rsidRPr="003E55DB" w:rsidRDefault="000A2DC9" w:rsidP="000A2DC9">
      <w:pPr>
        <w:pStyle w:val="Corpsdetexte"/>
      </w:pPr>
      <w:r w:rsidRPr="003E55DB">
        <w:t xml:space="preserve">Dominique </w:t>
      </w:r>
      <w:r w:rsidRPr="00433573">
        <w:rPr>
          <w:caps/>
        </w:rPr>
        <w:t>Libault</w:t>
      </w:r>
      <w:r>
        <w:t>, directeur EN3S</w:t>
      </w:r>
    </w:p>
    <w:p w14:paraId="77831FAF" w14:textId="644CB255" w:rsidR="000A2DC9" w:rsidRPr="003E55DB" w:rsidRDefault="000A2DC9" w:rsidP="000A2DC9">
      <w:pPr>
        <w:pStyle w:val="Corpsdetexte"/>
      </w:pPr>
      <w:r w:rsidRPr="003E55DB">
        <w:t xml:space="preserve">Didier </w:t>
      </w:r>
      <w:r w:rsidRPr="00433573">
        <w:rPr>
          <w:caps/>
        </w:rPr>
        <w:t>Tabuteau</w:t>
      </w:r>
      <w:r>
        <w:t xml:space="preserve">, </w:t>
      </w:r>
      <w:r w:rsidR="0034283C" w:rsidRPr="00EA1EEF">
        <w:t>président de la section sociale du Conseil d'Etat</w:t>
      </w:r>
    </w:p>
    <w:p w14:paraId="7C637594" w14:textId="77777777" w:rsidR="000A2DC9" w:rsidRDefault="000A2DC9" w:rsidP="000A2DC9">
      <w:pPr>
        <w:pStyle w:val="Corpsdetexte"/>
      </w:pPr>
      <w:r w:rsidRPr="003E55DB">
        <w:t xml:space="preserve">Oliver </w:t>
      </w:r>
      <w:r w:rsidRPr="00433573">
        <w:rPr>
          <w:caps/>
        </w:rPr>
        <w:t>Veran</w:t>
      </w:r>
      <w:r>
        <w:t>, rapporteur général de l’Assemblée Nationale</w:t>
      </w:r>
    </w:p>
    <w:p w14:paraId="0EA2BC75" w14:textId="77777777" w:rsidR="000A2DC9" w:rsidRPr="003E55DB" w:rsidRDefault="000A2DC9" w:rsidP="000A2DC9">
      <w:pPr>
        <w:pStyle w:val="Corpsdetexte"/>
      </w:pPr>
      <w:r>
        <w:t xml:space="preserve">Emmanuelle </w:t>
      </w:r>
      <w:r w:rsidRPr="00433573">
        <w:rPr>
          <w:caps/>
        </w:rPr>
        <w:t>Fontaine-Domeizel</w:t>
      </w:r>
      <w:r>
        <w:t>, députée</w:t>
      </w:r>
    </w:p>
    <w:p w14:paraId="14249A91" w14:textId="77777777" w:rsidR="000A2DC9" w:rsidRDefault="000A2DC9" w:rsidP="000A2DC9">
      <w:pPr>
        <w:pStyle w:val="Corpsdetexte"/>
      </w:pPr>
      <w:r>
        <w:t xml:space="preserve">Claire </w:t>
      </w:r>
      <w:r w:rsidRPr="00433573">
        <w:rPr>
          <w:caps/>
        </w:rPr>
        <w:t>Pitollat</w:t>
      </w:r>
      <w:r>
        <w:t xml:space="preserve">, députée </w:t>
      </w:r>
    </w:p>
    <w:p w14:paraId="5B4A59C8" w14:textId="77777777" w:rsidR="000A2DC9" w:rsidRPr="00905048" w:rsidRDefault="000A2DC9" w:rsidP="000A2DC9">
      <w:pPr>
        <w:pStyle w:val="Corpsdetexte"/>
      </w:pPr>
      <w:r>
        <w:t>Pauline D’ORGEVAL, président et co-fondatrice Coactis santé</w:t>
      </w:r>
    </w:p>
    <w:p w14:paraId="4E6334D5" w14:textId="77777777" w:rsidR="000A2DC9" w:rsidRDefault="000A2DC9" w:rsidP="000A2DC9">
      <w:pPr>
        <w:pStyle w:val="Corpsdetexte"/>
      </w:pPr>
      <w:r w:rsidRPr="00905048">
        <w:t>Alain C</w:t>
      </w:r>
      <w:r>
        <w:t>HATELAIN,</w:t>
      </w:r>
      <w:r w:rsidRPr="00905048">
        <w:t xml:space="preserve"> président de la Fondation Paralysie Cérébrale</w:t>
      </w:r>
    </w:p>
    <w:p w14:paraId="4EEEADCA" w14:textId="77777777" w:rsidR="000A2DC9" w:rsidRDefault="000A2DC9" w:rsidP="000A2DC9">
      <w:pPr>
        <w:pStyle w:val="Corpsdetexte"/>
      </w:pPr>
      <w:r w:rsidRPr="003E55DB">
        <w:t xml:space="preserve">Marie-Ange </w:t>
      </w:r>
      <w:r w:rsidRPr="00433573">
        <w:rPr>
          <w:caps/>
        </w:rPr>
        <w:t>Caillot</w:t>
      </w:r>
      <w:r w:rsidRPr="003E55DB">
        <w:t>, responsable des assistantes sociales de l’hôpital de Garches</w:t>
      </w:r>
    </w:p>
    <w:p w14:paraId="39D88DA1" w14:textId="77777777" w:rsidR="00904EE3" w:rsidRDefault="00904EE3">
      <w:r>
        <w:br w:type="page"/>
      </w:r>
    </w:p>
    <w:p w14:paraId="43BE1E59" w14:textId="77777777" w:rsidR="00904EE3" w:rsidRDefault="00904EE3" w:rsidP="000621C6">
      <w:pPr>
        <w:pStyle w:val="Titre2Annexes"/>
        <w:ind w:left="0"/>
      </w:pPr>
      <w:bookmarkStart w:id="512" w:name="_Toc523327719"/>
      <w:r w:rsidRPr="00904EE3">
        <w:lastRenderedPageBreak/>
        <w:t>Bibliographie</w:t>
      </w:r>
      <w:bookmarkEnd w:id="512"/>
    </w:p>
    <w:p w14:paraId="6F9F1365" w14:textId="77777777" w:rsidR="00904EE3" w:rsidRPr="00AE02BC" w:rsidRDefault="00904EE3" w:rsidP="00904EE3">
      <w:pPr>
        <w:pStyle w:val="Corpsdetexte"/>
      </w:pPr>
      <w:r w:rsidRPr="00904EE3">
        <w:t xml:space="preserve">Actes colloques MG France, (2013), </w:t>
      </w:r>
      <w:r w:rsidRPr="00AE02BC">
        <w:t>Les inégalités sociales de santé, un défi pour la médecine générale</w:t>
      </w:r>
    </w:p>
    <w:p w14:paraId="30C9AB7D" w14:textId="449AE2A3" w:rsidR="00AE02BC" w:rsidRPr="00AE02BC" w:rsidRDefault="00AE02BC" w:rsidP="00AE02BC">
      <w:pPr>
        <w:pStyle w:val="Corpsdetexte"/>
        <w:rPr>
          <w:i/>
        </w:rPr>
      </w:pPr>
      <w:r>
        <w:t xml:space="preserve">Abrossimov C. et Chérèque F., (2014), </w:t>
      </w:r>
      <w:r w:rsidRPr="00AE02BC">
        <w:rPr>
          <w:i/>
        </w:rPr>
        <w:t>Les liens entre handicap et pauvreté : Les difficultés dans l'accès aux droits et aux ressources</w:t>
      </w:r>
      <w:r w:rsidRPr="00AE02BC">
        <w:t>, rapport au Premier Ministre</w:t>
      </w:r>
      <w:r w:rsidRPr="00AE02BC">
        <w:rPr>
          <w:i/>
        </w:rPr>
        <w:t xml:space="preserve"> </w:t>
      </w:r>
    </w:p>
    <w:p w14:paraId="44B80C71" w14:textId="77777777" w:rsidR="00904EE3" w:rsidRPr="00904EE3" w:rsidRDefault="00904EE3" w:rsidP="00904EE3">
      <w:pPr>
        <w:pStyle w:val="Corpsdetexte"/>
      </w:pPr>
      <w:r w:rsidRPr="00904EE3">
        <w:t xml:space="preserve">Anesm, (2017), </w:t>
      </w:r>
      <w:r w:rsidRPr="00904EE3">
        <w:rPr>
          <w:i/>
        </w:rPr>
        <w:t>L’accompagnement des mineurs non accompagnés dits « mineurs isolés étrangers »</w:t>
      </w:r>
    </w:p>
    <w:p w14:paraId="63C2238A" w14:textId="77777777" w:rsidR="00904EE3" w:rsidRPr="00904EE3" w:rsidRDefault="00904EE3" w:rsidP="00904EE3">
      <w:pPr>
        <w:pStyle w:val="Corpsdetexte"/>
      </w:pPr>
      <w:r w:rsidRPr="00904EE3">
        <w:t xml:space="preserve">Anesm, (2018), </w:t>
      </w:r>
      <w:r w:rsidRPr="00904EE3">
        <w:rPr>
          <w:i/>
        </w:rPr>
        <w:t>Pratiques de coopération et de coordination du parcours de la personne en situation de handicap</w:t>
      </w:r>
    </w:p>
    <w:p w14:paraId="29DA52D4" w14:textId="77777777" w:rsidR="00904EE3" w:rsidRPr="00904EE3" w:rsidRDefault="00904EE3" w:rsidP="00904EE3">
      <w:pPr>
        <w:pStyle w:val="Corpsdetexte"/>
      </w:pPr>
      <w:r w:rsidRPr="00904EE3">
        <w:t xml:space="preserve">APF, (2007), </w:t>
      </w:r>
      <w:r w:rsidRPr="00904EE3">
        <w:rPr>
          <w:i/>
        </w:rPr>
        <w:t>Pour une stratégie nationale de santé adaptée aux personnes en situation de handicap</w:t>
      </w:r>
      <w:r w:rsidRPr="00904EE3">
        <w:t xml:space="preserve"> </w:t>
      </w:r>
    </w:p>
    <w:p w14:paraId="37A865DC" w14:textId="77777777" w:rsidR="00904EE3" w:rsidRPr="00904EE3" w:rsidRDefault="00904EE3" w:rsidP="00904EE3">
      <w:pPr>
        <w:pStyle w:val="Corpsdetexte"/>
      </w:pPr>
      <w:r w:rsidRPr="00904EE3">
        <w:t xml:space="preserve">Archimbaud A., (2013), </w:t>
      </w:r>
      <w:r w:rsidRPr="00904EE3">
        <w:rPr>
          <w:i/>
        </w:rPr>
        <w:t>L’accès aux soins des plus démunis</w:t>
      </w:r>
    </w:p>
    <w:p w14:paraId="52587067" w14:textId="77777777" w:rsidR="00904EE3" w:rsidRPr="00904EE3" w:rsidRDefault="00904EE3" w:rsidP="00904EE3">
      <w:pPr>
        <w:pStyle w:val="Corpsdetexte"/>
      </w:pPr>
      <w:r w:rsidRPr="00904EE3">
        <w:t xml:space="preserve">ASD, (2018), </w:t>
      </w:r>
      <w:r w:rsidRPr="00904EE3">
        <w:rPr>
          <w:i/>
        </w:rPr>
        <w:t>La santé bucco-dentaire, un enjeu de santé publique</w:t>
      </w:r>
    </w:p>
    <w:p w14:paraId="25DD0433" w14:textId="77777777" w:rsidR="00904EE3" w:rsidRPr="00904EE3" w:rsidRDefault="00904EE3" w:rsidP="00904EE3">
      <w:pPr>
        <w:pStyle w:val="Corpsdetexte"/>
      </w:pPr>
      <w:r w:rsidRPr="00904EE3">
        <w:t xml:space="preserve">ASIEM, (2018), </w:t>
      </w:r>
      <w:r w:rsidRPr="00904EE3">
        <w:rPr>
          <w:i/>
        </w:rPr>
        <w:t>Santé des migrants : enjeux éthiques, politiques et de société</w:t>
      </w:r>
      <w:r w:rsidRPr="00904EE3">
        <w:t>, Colloque</w:t>
      </w:r>
    </w:p>
    <w:p w14:paraId="2AF6D7C5" w14:textId="77777777" w:rsidR="00904EE3" w:rsidRPr="00904EE3" w:rsidRDefault="00904EE3" w:rsidP="00904EE3">
      <w:pPr>
        <w:pStyle w:val="Corpsdetexte"/>
      </w:pPr>
      <w:r w:rsidRPr="00904EE3">
        <w:t xml:space="preserve">Assemblée nationale en partenariat avec ODENORE (2016), </w:t>
      </w:r>
      <w:r w:rsidRPr="00904EE3">
        <w:rPr>
          <w:i/>
        </w:rPr>
        <w:t>Évaluation du non-recours aux minima sociaux et aux soins des personnes en situation de précarité sociale</w:t>
      </w:r>
    </w:p>
    <w:p w14:paraId="5AC05FBB" w14:textId="77777777" w:rsidR="00904EE3" w:rsidRPr="00904EE3" w:rsidRDefault="00904EE3" w:rsidP="00904EE3">
      <w:pPr>
        <w:pStyle w:val="Corpsdetexte"/>
      </w:pPr>
      <w:r w:rsidRPr="00904EE3">
        <w:t xml:space="preserve">Associations (2018), </w:t>
      </w:r>
      <w:r w:rsidRPr="00904EE3">
        <w:rPr>
          <w:i/>
        </w:rPr>
        <w:t>plaidoyer pour un accès à la santé des personnes exilées</w:t>
      </w:r>
    </w:p>
    <w:p w14:paraId="2125677F" w14:textId="77777777" w:rsidR="00904EE3" w:rsidRPr="00904EE3" w:rsidRDefault="00904EE3" w:rsidP="00904EE3">
      <w:pPr>
        <w:pStyle w:val="Corpsdetexte"/>
      </w:pPr>
      <w:r w:rsidRPr="00904EE3">
        <w:t xml:space="preserve">Assurance Maladie (2018) </w:t>
      </w:r>
      <w:r w:rsidRPr="00904EE3">
        <w:rPr>
          <w:i/>
        </w:rPr>
        <w:t>Convention d’objectif et de gestion entre l’État et la CNAM 2018-2022</w:t>
      </w:r>
    </w:p>
    <w:p w14:paraId="33002F75" w14:textId="77777777" w:rsidR="00904EE3" w:rsidRPr="00904EE3" w:rsidRDefault="00904EE3" w:rsidP="00904EE3">
      <w:pPr>
        <w:pStyle w:val="Corpsdetexte"/>
      </w:pPr>
      <w:r w:rsidRPr="00904EE3">
        <w:t xml:space="preserve">Azoulay J., Havard H., Sourlas P., Gissler E. et Dr Chambaud L., Corlay D., (2007), </w:t>
      </w:r>
      <w:r w:rsidRPr="00904EE3">
        <w:rPr>
          <w:i/>
        </w:rPr>
        <w:t>Rapport sur la gestion de l’aide médicale d’État</w:t>
      </w:r>
      <w:r w:rsidRPr="00904EE3">
        <w:t>, IGF et IGAS</w:t>
      </w:r>
    </w:p>
    <w:p w14:paraId="29295773" w14:textId="77777777" w:rsidR="00904EE3" w:rsidRPr="00904EE3" w:rsidRDefault="00904EE3" w:rsidP="00904EE3">
      <w:pPr>
        <w:pStyle w:val="Corpsdetexte"/>
      </w:pPr>
      <w:r w:rsidRPr="00904EE3">
        <w:t xml:space="preserve">Bargain O., Carcillo S., Lehmann E. et L’Horty Y., (2017), </w:t>
      </w:r>
      <w:r w:rsidRPr="00904EE3">
        <w:rPr>
          <w:i/>
        </w:rPr>
        <w:t>Mieux lutter contre la pauvreté par des aides monétaires, les notes du conseil d’analyse économique</w:t>
      </w:r>
      <w:r w:rsidRPr="00904EE3">
        <w:t>, n°41</w:t>
      </w:r>
    </w:p>
    <w:p w14:paraId="320C963E" w14:textId="77777777" w:rsidR="00904EE3" w:rsidRPr="00904EE3" w:rsidRDefault="00904EE3" w:rsidP="00904EE3">
      <w:pPr>
        <w:pStyle w:val="Corpsdetexte"/>
      </w:pPr>
      <w:r w:rsidRPr="00904EE3">
        <w:t xml:space="preserve">Bégué P., (2017), </w:t>
      </w:r>
      <w:r w:rsidRPr="00904EE3">
        <w:rPr>
          <w:i/>
        </w:rPr>
        <w:t>La médecine scolaire en France</w:t>
      </w:r>
      <w:r w:rsidRPr="00904EE3">
        <w:t>, Académie nationale de médecine</w:t>
      </w:r>
    </w:p>
    <w:p w14:paraId="27EC9C98" w14:textId="77777777" w:rsidR="00904EE3" w:rsidRPr="00904EE3" w:rsidRDefault="00904EE3" w:rsidP="00904EE3">
      <w:pPr>
        <w:pStyle w:val="Corpsdetexte"/>
      </w:pPr>
      <w:r w:rsidRPr="00904EE3">
        <w:t>Biemouret G. et COSTES J-L., Assemblée nationale (2016), R</w:t>
      </w:r>
      <w:r w:rsidRPr="00904EE3">
        <w:rPr>
          <w:i/>
        </w:rPr>
        <w:t>apport d’information sur l’évaluation des politiques publiques en faveur de l’accès aux droits sociaux</w:t>
      </w:r>
      <w:r w:rsidRPr="00904EE3">
        <w:t>, N°4158</w:t>
      </w:r>
    </w:p>
    <w:p w14:paraId="3B40456A" w14:textId="77777777" w:rsidR="00904EE3" w:rsidRPr="00904EE3" w:rsidRDefault="00904EE3" w:rsidP="00904EE3">
      <w:pPr>
        <w:pStyle w:val="Corpsdetexte"/>
      </w:pPr>
      <w:r w:rsidRPr="00904EE3">
        <w:t xml:space="preserve">Bordeianu F. et Gacon L., (2017), </w:t>
      </w:r>
      <w:r w:rsidRPr="00904EE3">
        <w:rPr>
          <w:i/>
        </w:rPr>
        <w:t>Médiation en santé : des outils co-construits avec les habitants des bidonvilles</w:t>
      </w:r>
      <w:r w:rsidRPr="00904EE3">
        <w:t xml:space="preserve">, La santé en action </w:t>
      </w:r>
    </w:p>
    <w:p w14:paraId="2BB3D750" w14:textId="77777777" w:rsidR="00904EE3" w:rsidRDefault="00904EE3" w:rsidP="00904EE3">
      <w:pPr>
        <w:pStyle w:val="Corpsdetexte"/>
      </w:pPr>
      <w:r w:rsidRPr="00904EE3">
        <w:t xml:space="preserve">Bousquet D., Couraud G., Collet M et Lazimi G., (2017), </w:t>
      </w:r>
      <w:r w:rsidRPr="00904EE3">
        <w:rPr>
          <w:i/>
        </w:rPr>
        <w:t>La santé et l’accès aux soins : une urgence pour les femmes en situation de précarité</w:t>
      </w:r>
      <w:r w:rsidRPr="00904EE3">
        <w:t>, HCE</w:t>
      </w:r>
    </w:p>
    <w:p w14:paraId="2D57EFCE" w14:textId="77777777" w:rsidR="00904EE3" w:rsidRPr="00904EE3" w:rsidRDefault="00904EE3" w:rsidP="00904EE3">
      <w:pPr>
        <w:pStyle w:val="Corpsdetexte"/>
      </w:pPr>
      <w:r w:rsidRPr="00904EE3">
        <w:t xml:space="preserve">CNLE, (2011), </w:t>
      </w:r>
      <w:r w:rsidRPr="00904EE3">
        <w:rPr>
          <w:i/>
        </w:rPr>
        <w:t>Accès aux soins des plus démunis : CMU, ACS, AME, dix ans après, revaloriser et simplifier les dispos</w:t>
      </w:r>
      <w:r w:rsidRPr="00904EE3">
        <w:rPr>
          <w:i/>
        </w:rPr>
        <w:t>i</w:t>
      </w:r>
      <w:r w:rsidRPr="00904EE3">
        <w:rPr>
          <w:i/>
        </w:rPr>
        <w:t>tifs pour réduire le non-recours à la couverture maladie et améliorer l’accès aux soins des plus démunis</w:t>
      </w:r>
    </w:p>
    <w:p w14:paraId="21978037" w14:textId="77777777" w:rsidR="00904EE3" w:rsidRPr="00904EE3" w:rsidRDefault="00904EE3" w:rsidP="00904EE3">
      <w:pPr>
        <w:pStyle w:val="Corpsdetexte"/>
        <w:rPr>
          <w:i/>
        </w:rPr>
      </w:pPr>
      <w:r w:rsidRPr="00904EE3">
        <w:t xml:space="preserve">CNLE, (2017), </w:t>
      </w:r>
      <w:r w:rsidRPr="00904EE3">
        <w:rPr>
          <w:i/>
        </w:rPr>
        <w:t>Avis sur la stratégie nationale de santé</w:t>
      </w:r>
    </w:p>
    <w:p w14:paraId="4C1E714E" w14:textId="77777777" w:rsidR="00904EE3" w:rsidRPr="00904EE3" w:rsidRDefault="00904EE3" w:rsidP="00904EE3">
      <w:pPr>
        <w:pStyle w:val="Corpsdetexte"/>
      </w:pPr>
      <w:r w:rsidRPr="00904EE3">
        <w:t xml:space="preserve">CNLE, (2017), </w:t>
      </w:r>
      <w:r w:rsidRPr="00904EE3">
        <w:rPr>
          <w:i/>
        </w:rPr>
        <w:t>Recommandations du CNLE pour les politiques de lutte contre la pauvreté et l’exclusion sociale</w:t>
      </w:r>
    </w:p>
    <w:p w14:paraId="46EDA76F" w14:textId="77777777" w:rsidR="00904EE3" w:rsidRPr="00904EE3" w:rsidRDefault="00904EE3" w:rsidP="00904EE3">
      <w:pPr>
        <w:pStyle w:val="Corpsdetexte"/>
      </w:pPr>
      <w:r w:rsidRPr="00904EE3">
        <w:t xml:space="preserve">COMEDE, (2015), </w:t>
      </w:r>
      <w:r w:rsidRPr="00904EE3">
        <w:rPr>
          <w:i/>
        </w:rPr>
        <w:t>Migrants/étrangers en situation précaire - Soins et accompagnement</w:t>
      </w:r>
    </w:p>
    <w:p w14:paraId="263D2EF5" w14:textId="6D6255EC" w:rsidR="00904EE3" w:rsidRPr="00904EE3" w:rsidRDefault="00904EE3" w:rsidP="00904EE3">
      <w:pPr>
        <w:pStyle w:val="Corpsdetexte"/>
      </w:pPr>
      <w:r w:rsidRPr="00904EE3">
        <w:t xml:space="preserve">Cordier A. et Salas F., (2010), </w:t>
      </w:r>
      <w:r w:rsidRPr="00904EE3">
        <w:rPr>
          <w:i/>
        </w:rPr>
        <w:t>Analyse de l’évolution des dépenses au titre de l’aide médicale d’</w:t>
      </w:r>
      <w:r w:rsidR="009A55C9">
        <w:rPr>
          <w:i/>
        </w:rPr>
        <w:t>E</w:t>
      </w:r>
      <w:r w:rsidRPr="00904EE3">
        <w:rPr>
          <w:i/>
        </w:rPr>
        <w:t>tat</w:t>
      </w:r>
      <w:r w:rsidRPr="00904EE3">
        <w:t>, IGF et IGAS</w:t>
      </w:r>
    </w:p>
    <w:p w14:paraId="143F3A7C" w14:textId="77777777" w:rsidR="00904EE3" w:rsidRPr="00904EE3" w:rsidRDefault="00904EE3" w:rsidP="00904EE3">
      <w:pPr>
        <w:pStyle w:val="Corpsdetexte"/>
      </w:pPr>
      <w:r w:rsidRPr="00904EE3">
        <w:t xml:space="preserve">Coulomb D., (2018), </w:t>
      </w:r>
      <w:r w:rsidRPr="00904EE3">
        <w:rPr>
          <w:i/>
        </w:rPr>
        <w:t>Prévention : du concept à la réalité ? Le monde de la santé loue l’ambition...mais attend des actes et du concret</w:t>
      </w:r>
      <w:r w:rsidRPr="00904EE3">
        <w:t>, Le quotidien du médecin</w:t>
      </w:r>
    </w:p>
    <w:p w14:paraId="58B3537A" w14:textId="77777777" w:rsidR="00904EE3" w:rsidRPr="00904EE3" w:rsidRDefault="00904EE3" w:rsidP="00904EE3">
      <w:pPr>
        <w:pStyle w:val="Corpsdetexte"/>
      </w:pPr>
      <w:r w:rsidRPr="00904EE3">
        <w:t xml:space="preserve">Défenseur des droits, (2017), </w:t>
      </w:r>
      <w:r w:rsidRPr="00904EE3">
        <w:rPr>
          <w:i/>
        </w:rPr>
        <w:t>Droits de l’enfant en 2017</w:t>
      </w:r>
    </w:p>
    <w:p w14:paraId="72966481" w14:textId="77777777" w:rsidR="00904EE3" w:rsidRPr="00904EE3" w:rsidRDefault="00904EE3" w:rsidP="00904EE3">
      <w:pPr>
        <w:pStyle w:val="Corpsdetexte"/>
      </w:pPr>
      <w:r w:rsidRPr="00904EE3">
        <w:t xml:space="preserve">Délégation interministérielle à la prévention et à la lutte contre la pauvreté des enfants et des jeunes, (2018), </w:t>
      </w:r>
      <w:r w:rsidRPr="00904EE3">
        <w:rPr>
          <w:i/>
        </w:rPr>
        <w:t>Pr</w:t>
      </w:r>
      <w:r w:rsidRPr="00904EE3">
        <w:rPr>
          <w:i/>
        </w:rPr>
        <w:t>o</w:t>
      </w:r>
      <w:r w:rsidRPr="00904EE3">
        <w:rPr>
          <w:i/>
        </w:rPr>
        <w:t>position du groupe de travail n°5 : un accompagnement renforcé dans la lutte contre l’exclusion</w:t>
      </w:r>
    </w:p>
    <w:p w14:paraId="0E9AAC5E" w14:textId="77777777" w:rsidR="00904EE3" w:rsidRPr="00904EE3" w:rsidRDefault="00904EE3" w:rsidP="00904EE3">
      <w:pPr>
        <w:pStyle w:val="Corpsdetexte"/>
      </w:pPr>
      <w:r w:rsidRPr="00904EE3">
        <w:t xml:space="preserve">Délégation interministérielle à la prévention et à la lutte contre la pauvreté des enfants et des jeunes, (2018), </w:t>
      </w:r>
      <w:r w:rsidRPr="00904EE3">
        <w:rPr>
          <w:i/>
        </w:rPr>
        <w:t>Cl</w:t>
      </w:r>
      <w:r w:rsidRPr="00904EE3">
        <w:rPr>
          <w:i/>
        </w:rPr>
        <w:t>ô</w:t>
      </w:r>
      <w:r w:rsidRPr="00904EE3">
        <w:rPr>
          <w:i/>
        </w:rPr>
        <w:t>ture de la concertation et remise des propositions des groupes de travail</w:t>
      </w:r>
    </w:p>
    <w:p w14:paraId="5ED33D3B" w14:textId="77777777" w:rsidR="00904EE3" w:rsidRPr="00904EE3" w:rsidRDefault="00904EE3" w:rsidP="00904EE3">
      <w:pPr>
        <w:pStyle w:val="Corpsdetexte"/>
      </w:pPr>
      <w:r w:rsidRPr="00904EE3">
        <w:lastRenderedPageBreak/>
        <w:t xml:space="preserve">DGCS, (2016), </w:t>
      </w:r>
      <w:r w:rsidRPr="00904EE3">
        <w:rPr>
          <w:i/>
        </w:rPr>
        <w:t>Comment mieux prendre en charge la santé des personnes sans domicile ? Repérage de pratiques innovantes</w:t>
      </w:r>
    </w:p>
    <w:p w14:paraId="68E0EB47" w14:textId="77777777" w:rsidR="00904EE3" w:rsidRPr="00904EE3" w:rsidRDefault="00904EE3" w:rsidP="00904EE3">
      <w:pPr>
        <w:pStyle w:val="Corpsdetexte"/>
      </w:pPr>
      <w:r w:rsidRPr="00904EE3">
        <w:t xml:space="preserve">Dourgnon P., (2013), </w:t>
      </w:r>
      <w:r w:rsidRPr="00904EE3">
        <w:rPr>
          <w:i/>
        </w:rPr>
        <w:t>Évaluation des politiques publiques et inégalités sociales d’accès aux services de santé</w:t>
      </w:r>
    </w:p>
    <w:p w14:paraId="17AF03BF" w14:textId="77777777" w:rsidR="00904EE3" w:rsidRPr="00904EE3" w:rsidRDefault="00904EE3" w:rsidP="00904EE3">
      <w:pPr>
        <w:pStyle w:val="Corpsdetexte"/>
      </w:pPr>
      <w:r w:rsidRPr="00904EE3">
        <w:t xml:space="preserve">Dr Veran O., (2015), </w:t>
      </w:r>
      <w:r w:rsidRPr="00904EE3">
        <w:rPr>
          <w:i/>
        </w:rPr>
        <w:t>L’évolution des modes de financement des établissements de santé : une nouvelle échelle de valeur</w:t>
      </w:r>
    </w:p>
    <w:p w14:paraId="302F8104" w14:textId="77777777" w:rsidR="00904EE3" w:rsidRPr="00904EE3" w:rsidRDefault="00904EE3" w:rsidP="00904EE3">
      <w:pPr>
        <w:pStyle w:val="Corpsdetexte"/>
      </w:pPr>
      <w:r w:rsidRPr="00904EE3">
        <w:t xml:space="preserve">DREES (2018), </w:t>
      </w:r>
      <w:r w:rsidRPr="00904EE3">
        <w:rPr>
          <w:i/>
        </w:rPr>
        <w:t>Dossier de presse, Démographie des professionnels de santé</w:t>
      </w:r>
    </w:p>
    <w:p w14:paraId="29754CFF" w14:textId="7CA7F684" w:rsidR="00904EE3" w:rsidRPr="00181084" w:rsidRDefault="00D00390" w:rsidP="00904EE3">
      <w:pPr>
        <w:pStyle w:val="Corpsdetexte"/>
        <w:rPr>
          <w:i/>
        </w:rPr>
      </w:pPr>
      <w:r w:rsidRPr="00904EE3">
        <w:t>D</w:t>
      </w:r>
      <w:r>
        <w:t>upays</w:t>
      </w:r>
      <w:r w:rsidRPr="00904EE3">
        <w:t xml:space="preserve"> </w:t>
      </w:r>
      <w:r w:rsidR="00904EE3" w:rsidRPr="00904EE3">
        <w:t>S., K</w:t>
      </w:r>
      <w:r>
        <w:t>our</w:t>
      </w:r>
      <w:r w:rsidR="00904EE3" w:rsidRPr="00904EE3">
        <w:t xml:space="preserve"> A., B</w:t>
      </w:r>
      <w:r>
        <w:t>ourdais</w:t>
      </w:r>
      <w:r w:rsidR="00904EE3" w:rsidRPr="00904EE3">
        <w:t xml:space="preserve"> F., </w:t>
      </w:r>
      <w:r w:rsidRPr="00904EE3">
        <w:t>D</w:t>
      </w:r>
      <w:r>
        <w:t>e</w:t>
      </w:r>
      <w:r w:rsidRPr="00904EE3">
        <w:t xml:space="preserve"> V</w:t>
      </w:r>
      <w:r>
        <w:t>incenzi</w:t>
      </w:r>
      <w:r w:rsidRPr="00904EE3">
        <w:t xml:space="preserve"> </w:t>
      </w:r>
      <w:r w:rsidR="00904EE3" w:rsidRPr="00904EE3">
        <w:t xml:space="preserve">J-P., (2018), </w:t>
      </w:r>
      <w:r w:rsidR="00904EE3" w:rsidRPr="00337E5D">
        <w:rPr>
          <w:i/>
        </w:rPr>
        <w:t>Évaluation des actions menées en matière d’activité ph</w:t>
      </w:r>
      <w:r w:rsidR="00904EE3" w:rsidRPr="0061524B">
        <w:rPr>
          <w:i/>
        </w:rPr>
        <w:t>y</w:t>
      </w:r>
      <w:r w:rsidR="00904EE3" w:rsidRPr="00FF6DC6">
        <w:rPr>
          <w:i/>
        </w:rPr>
        <w:t>sique et sportive à des fins de santé</w:t>
      </w:r>
    </w:p>
    <w:p w14:paraId="4A244351" w14:textId="43695144" w:rsidR="00C164AA" w:rsidRPr="00181084" w:rsidRDefault="00C164AA" w:rsidP="00181084">
      <w:pPr>
        <w:pStyle w:val="Corpsdetexte"/>
      </w:pPr>
      <w:r>
        <w:t>Fauchier</w:t>
      </w:r>
      <w:r w:rsidRPr="00C164AA">
        <w:t xml:space="preserve"> </w:t>
      </w:r>
      <w:r>
        <w:t xml:space="preserve">E., Saintoyant V. (2017), IGAS, </w:t>
      </w:r>
      <w:r w:rsidRPr="00181084">
        <w:rPr>
          <w:i/>
        </w:rPr>
        <w:t>rapport d’évaluation de la convention d’objectifs et de gestion 2014-2017 de la CNAMTS, Qualité de service et organisation du réseau</w:t>
      </w:r>
      <w:r w:rsidRPr="00181084">
        <w:t xml:space="preserve"> </w:t>
      </w:r>
    </w:p>
    <w:p w14:paraId="1417A49C" w14:textId="77777777" w:rsidR="00904EE3" w:rsidRPr="00904EE3" w:rsidRDefault="00904EE3" w:rsidP="00904EE3">
      <w:pPr>
        <w:pStyle w:val="Corpsdetexte"/>
      </w:pPr>
      <w:r w:rsidRPr="00904EE3">
        <w:t xml:space="preserve">Fédération des acteurs de la solidarité, (2017), </w:t>
      </w:r>
      <w:r w:rsidRPr="00904EE3">
        <w:rPr>
          <w:i/>
        </w:rPr>
        <w:t>Enquête sur le fonctionnement des PASS (permanences d’accès aux soins de santé)</w:t>
      </w:r>
    </w:p>
    <w:p w14:paraId="6A12C392" w14:textId="77777777" w:rsidR="00904EE3" w:rsidRPr="00904EE3" w:rsidRDefault="00904EE3" w:rsidP="00904EE3">
      <w:pPr>
        <w:pStyle w:val="Corpsdetexte"/>
      </w:pPr>
      <w:r w:rsidRPr="00904EE3">
        <w:t xml:space="preserve">Fédération des acteurs de la solidarité, (2017), </w:t>
      </w:r>
      <w:r w:rsidRPr="00904EE3">
        <w:rPr>
          <w:i/>
        </w:rPr>
        <w:t>Manifeste pour une politique effective d’accompagnement santé des personnes en situation de précarité</w:t>
      </w:r>
    </w:p>
    <w:p w14:paraId="6CE59C24" w14:textId="77777777" w:rsidR="00904EE3" w:rsidRPr="00904EE3" w:rsidRDefault="00904EE3" w:rsidP="00904EE3">
      <w:pPr>
        <w:pStyle w:val="Corpsdetexte"/>
      </w:pPr>
      <w:r w:rsidRPr="00904EE3">
        <w:t xml:space="preserve">Goasguen C. et Sirugue C. (2015), </w:t>
      </w:r>
      <w:r w:rsidRPr="00904EE3">
        <w:rPr>
          <w:i/>
        </w:rPr>
        <w:t>L’évaluation de l’AME</w:t>
      </w:r>
      <w:r w:rsidRPr="00904EE3">
        <w:t>, Assemblée Nationale</w:t>
      </w:r>
    </w:p>
    <w:p w14:paraId="3FA404B1" w14:textId="77777777" w:rsidR="00904EE3" w:rsidRPr="00904EE3" w:rsidRDefault="00904EE3" w:rsidP="00904EE3">
      <w:pPr>
        <w:pStyle w:val="Corpsdetexte"/>
      </w:pPr>
      <w:r w:rsidRPr="00904EE3">
        <w:t xml:space="preserve">Handidactique, MNH (2014), </w:t>
      </w:r>
      <w:r w:rsidRPr="00904EE3">
        <w:rPr>
          <w:i/>
        </w:rPr>
        <w:t>Unis pour l’accès à la santé des personnes en situation de handicap</w:t>
      </w:r>
      <w:r w:rsidRPr="00904EE3">
        <w:t>, charte Romain Jacob</w:t>
      </w:r>
    </w:p>
    <w:p w14:paraId="1254DEA2" w14:textId="77777777" w:rsidR="00904EE3" w:rsidRPr="00904EE3" w:rsidRDefault="00904EE3" w:rsidP="00904EE3">
      <w:pPr>
        <w:pStyle w:val="Corpsdetexte"/>
      </w:pPr>
      <w:r w:rsidRPr="00904EE3">
        <w:t xml:space="preserve">Haute Autorité de Santé (HAS) (2017), </w:t>
      </w:r>
      <w:r w:rsidRPr="00904EE3">
        <w:rPr>
          <w:i/>
        </w:rPr>
        <w:t>Guide accueil, accompagnement et organisation de soins établissement de santé pour les personnes en situation de handicap</w:t>
      </w:r>
    </w:p>
    <w:p w14:paraId="5CEDA8A5" w14:textId="77777777" w:rsidR="00904EE3" w:rsidRPr="00904EE3" w:rsidRDefault="00904EE3" w:rsidP="00904EE3">
      <w:pPr>
        <w:pStyle w:val="Corpsdetexte"/>
      </w:pPr>
      <w:r w:rsidRPr="00904EE3">
        <w:t>Haute Autorité de Santé (HAS) (2017), G</w:t>
      </w:r>
      <w:r w:rsidRPr="00904EE3">
        <w:rPr>
          <w:i/>
        </w:rPr>
        <w:t>uide d’amélioration des pratiques professionnelles</w:t>
      </w:r>
    </w:p>
    <w:p w14:paraId="246B99D6" w14:textId="77777777" w:rsidR="00904EE3" w:rsidRPr="00904EE3" w:rsidRDefault="00904EE3" w:rsidP="00904EE3">
      <w:pPr>
        <w:pStyle w:val="Corpsdetexte"/>
      </w:pPr>
      <w:r w:rsidRPr="00904EE3">
        <w:t xml:space="preserve">Haute Autorité de Santé (HAS), (2017), </w:t>
      </w:r>
      <w:r w:rsidRPr="00904EE3">
        <w:rPr>
          <w:i/>
        </w:rPr>
        <w:t>Interprétariat linguistique dans le domaine de la santé</w:t>
      </w:r>
    </w:p>
    <w:p w14:paraId="4EF95CB1" w14:textId="77777777" w:rsidR="00904EE3" w:rsidRPr="00904EE3" w:rsidRDefault="00904EE3" w:rsidP="00904EE3">
      <w:pPr>
        <w:pStyle w:val="Corpsdetexte"/>
      </w:pPr>
      <w:r w:rsidRPr="00904EE3">
        <w:t xml:space="preserve">Haute Autorité de Santé (HAS), (2017), </w:t>
      </w:r>
      <w:r w:rsidRPr="00904EE3">
        <w:rPr>
          <w:i/>
        </w:rPr>
        <w:t>La médiation en santé pour les personnes éloignées des systèmes de préve</w:t>
      </w:r>
      <w:r w:rsidRPr="00904EE3">
        <w:rPr>
          <w:i/>
        </w:rPr>
        <w:t>n</w:t>
      </w:r>
      <w:r w:rsidRPr="00904EE3">
        <w:rPr>
          <w:i/>
        </w:rPr>
        <w:t>tion et de soins</w:t>
      </w:r>
    </w:p>
    <w:p w14:paraId="4F65C3BF" w14:textId="77777777" w:rsidR="00904EE3" w:rsidRPr="00904EE3" w:rsidRDefault="00904EE3" w:rsidP="00904EE3">
      <w:pPr>
        <w:pStyle w:val="Corpsdetexte"/>
      </w:pPr>
      <w:r w:rsidRPr="00904EE3">
        <w:t xml:space="preserve">HCAAM, (2012), </w:t>
      </w:r>
      <w:r w:rsidRPr="00904EE3">
        <w:rPr>
          <w:i/>
        </w:rPr>
        <w:t>Avenir de l’assurance maladie : les options du HCAAM</w:t>
      </w:r>
    </w:p>
    <w:p w14:paraId="0E13613D" w14:textId="77777777" w:rsidR="00904EE3" w:rsidRPr="00904EE3" w:rsidRDefault="00904EE3" w:rsidP="00904EE3">
      <w:pPr>
        <w:pStyle w:val="Corpsdetexte"/>
      </w:pPr>
      <w:r w:rsidRPr="00904EE3">
        <w:t xml:space="preserve">HCAAM, (2016), </w:t>
      </w:r>
      <w:r w:rsidRPr="00904EE3">
        <w:rPr>
          <w:i/>
        </w:rPr>
        <w:t>Innovation et système de santé, Tome 1</w:t>
      </w:r>
    </w:p>
    <w:p w14:paraId="18861563" w14:textId="77777777" w:rsidR="00904EE3" w:rsidRPr="00904EE3" w:rsidRDefault="00904EE3" w:rsidP="00904EE3">
      <w:pPr>
        <w:pStyle w:val="Corpsdetexte"/>
      </w:pPr>
      <w:r w:rsidRPr="00904EE3">
        <w:t xml:space="preserve">HCAAM, (2017), </w:t>
      </w:r>
      <w:r w:rsidRPr="00904EE3">
        <w:rPr>
          <w:i/>
        </w:rPr>
        <w:t>Refonder les politiques de prévention et de promotion de la santé</w:t>
      </w:r>
    </w:p>
    <w:p w14:paraId="6AEF4197" w14:textId="77777777" w:rsidR="00904EE3" w:rsidRPr="00904EE3" w:rsidRDefault="00904EE3" w:rsidP="00904EE3">
      <w:pPr>
        <w:pStyle w:val="Corpsdetexte"/>
      </w:pPr>
      <w:r w:rsidRPr="00904EE3">
        <w:t xml:space="preserve">IGA, IGAS, IGF et ADF (2018), </w:t>
      </w:r>
      <w:r w:rsidRPr="00904EE3">
        <w:rPr>
          <w:i/>
        </w:rPr>
        <w:t>Rapport de la mission bipartite de réflexion sur les mineurs non accompagnés</w:t>
      </w:r>
    </w:p>
    <w:p w14:paraId="77B43AC2" w14:textId="77777777" w:rsidR="00904EE3" w:rsidRPr="00904EE3" w:rsidRDefault="00904EE3" w:rsidP="00904EE3">
      <w:pPr>
        <w:pStyle w:val="Corpsdetexte"/>
      </w:pPr>
      <w:r w:rsidRPr="00904EE3">
        <w:t xml:space="preserve">INPES, (2010), </w:t>
      </w:r>
      <w:r w:rsidRPr="00904EE3">
        <w:rPr>
          <w:i/>
        </w:rPr>
        <w:t>Prospective santé 2030 – prévention 2010</w:t>
      </w:r>
    </w:p>
    <w:p w14:paraId="583F1CE3" w14:textId="77777777" w:rsidR="00904EE3" w:rsidRPr="00904EE3" w:rsidRDefault="00904EE3" w:rsidP="00904EE3">
      <w:pPr>
        <w:pStyle w:val="Corpsdetexte"/>
      </w:pPr>
      <w:r w:rsidRPr="00904EE3">
        <w:t xml:space="preserve">Institut Montaigne, (2013), </w:t>
      </w:r>
      <w:r w:rsidRPr="00904EE3">
        <w:rPr>
          <w:i/>
        </w:rPr>
        <w:t>Accès aux soins : en finir avec la fracture territoriale</w:t>
      </w:r>
    </w:p>
    <w:p w14:paraId="08440669" w14:textId="77777777" w:rsidR="00904EE3" w:rsidRPr="00546DFF" w:rsidRDefault="00904EE3" w:rsidP="00904EE3">
      <w:pPr>
        <w:pStyle w:val="Corpsdetexte"/>
      </w:pPr>
      <w:r w:rsidRPr="00904EE3">
        <w:t xml:space="preserve">Institut Montaigne, (2018), </w:t>
      </w:r>
      <w:r w:rsidRPr="00546DFF">
        <w:t>Protection sociale : une mise à jour vitale</w:t>
      </w:r>
    </w:p>
    <w:p w14:paraId="316581CD" w14:textId="684BCB2A" w:rsidR="00546DFF" w:rsidRPr="00546DFF" w:rsidRDefault="00546DFF" w:rsidP="00546DFF">
      <w:pPr>
        <w:pStyle w:val="Corpsdetexte"/>
      </w:pPr>
      <w:r w:rsidRPr="00546DFF">
        <w:t xml:space="preserve">IRDES </w:t>
      </w:r>
      <w:r>
        <w:t xml:space="preserve">(2015), </w:t>
      </w:r>
      <w:r w:rsidRPr="00546DFF">
        <w:rPr>
          <w:i/>
        </w:rPr>
        <w:t>L’accès aux soins courants et préventifs des personnes en situation de handicap</w:t>
      </w:r>
      <w:r>
        <w:rPr>
          <w:i/>
        </w:rPr>
        <w:t>.</w:t>
      </w:r>
      <w:r w:rsidRPr="00546DFF">
        <w:rPr>
          <w:i/>
        </w:rPr>
        <w:t xml:space="preserve"> </w:t>
      </w:r>
      <w:r w:rsidRPr="00546DFF">
        <w:t>Pascale Lengagne</w:t>
      </w:r>
      <w:r>
        <w:t xml:space="preserve">, </w:t>
      </w:r>
      <w:r w:rsidRPr="00546DFF">
        <w:t>Anne Penneau</w:t>
      </w:r>
      <w:r>
        <w:t xml:space="preserve">, </w:t>
      </w:r>
      <w:r w:rsidRPr="00546DFF">
        <w:t>Sylvain Pichetti</w:t>
      </w:r>
      <w:r>
        <w:t xml:space="preserve">, </w:t>
      </w:r>
      <w:r w:rsidRPr="00546DFF">
        <w:t>Catherine Sermet</w:t>
      </w:r>
      <w:r>
        <w:t>.</w:t>
      </w:r>
    </w:p>
    <w:p w14:paraId="34B6AABC" w14:textId="3C24358F" w:rsidR="00904EE3" w:rsidRPr="00904EE3" w:rsidRDefault="00904EE3" w:rsidP="00904EE3">
      <w:pPr>
        <w:pStyle w:val="Corpsdetexte"/>
      </w:pPr>
      <w:r w:rsidRPr="00904EE3">
        <w:t xml:space="preserve">CARLE </w:t>
      </w:r>
      <w:r w:rsidR="00D00390" w:rsidRPr="00904EE3">
        <w:t>J</w:t>
      </w:r>
      <w:r w:rsidR="00D00390">
        <w:t xml:space="preserve">.C </w:t>
      </w:r>
      <w:r w:rsidRPr="00904EE3">
        <w:t xml:space="preserve">et FERAT </w:t>
      </w:r>
      <w:r w:rsidR="00D00390">
        <w:t>F.</w:t>
      </w:r>
      <w:r w:rsidR="00D00390" w:rsidRPr="00904EE3">
        <w:t xml:space="preserve"> </w:t>
      </w:r>
      <w:r w:rsidRPr="00904EE3">
        <w:t xml:space="preserve">(2016-2017), </w:t>
      </w:r>
      <w:r w:rsidRPr="00904EE3">
        <w:rPr>
          <w:i/>
        </w:rPr>
        <w:t>Avis au Sénat, Enseignement scolaire</w:t>
      </w:r>
      <w:r w:rsidRPr="00904EE3">
        <w:t>, n°144</w:t>
      </w:r>
    </w:p>
    <w:p w14:paraId="5EC0B7CD" w14:textId="77777777" w:rsidR="00904EE3" w:rsidRPr="00904EE3" w:rsidRDefault="00904EE3" w:rsidP="00904EE3">
      <w:pPr>
        <w:pStyle w:val="Corpsdetexte"/>
      </w:pPr>
      <w:r w:rsidRPr="00904EE3">
        <w:t xml:space="preserve">Manonni C., </w:t>
      </w:r>
      <w:r w:rsidRPr="00904EE3">
        <w:rPr>
          <w:i/>
        </w:rPr>
        <w:t>les ateliers santé ville, une plus-value locale pour la réduction des inégalités de santé</w:t>
      </w:r>
    </w:p>
    <w:p w14:paraId="22581495" w14:textId="542775D5" w:rsidR="00904EE3" w:rsidRPr="00181084" w:rsidRDefault="00904EE3" w:rsidP="00904EE3">
      <w:pPr>
        <w:pStyle w:val="Corpsdetexte"/>
      </w:pPr>
      <w:r w:rsidRPr="00904EE3">
        <w:t xml:space="preserve">Médecin du monde, (2016), </w:t>
      </w:r>
      <w:r w:rsidRPr="00181084">
        <w:t xml:space="preserve">Observatoire de l’accès aux droits et aux soins de la mission </w:t>
      </w:r>
      <w:r w:rsidR="0071355E" w:rsidRPr="00181084">
        <w:t>France</w:t>
      </w:r>
    </w:p>
    <w:p w14:paraId="610448B0" w14:textId="12689798" w:rsidR="0071355E" w:rsidRPr="00181084" w:rsidRDefault="0071355E" w:rsidP="00181084">
      <w:pPr>
        <w:pStyle w:val="Corpsdetexte"/>
      </w:pPr>
      <w:r w:rsidRPr="00987068">
        <w:t>P</w:t>
      </w:r>
      <w:r>
        <w:t>iveteau</w:t>
      </w:r>
      <w:r w:rsidRPr="00987068">
        <w:t xml:space="preserve"> </w:t>
      </w:r>
      <w:r>
        <w:t xml:space="preserve">Denis (2014), </w:t>
      </w:r>
      <w:r w:rsidRPr="00337E5D">
        <w:t xml:space="preserve"> </w:t>
      </w:r>
      <w:r w:rsidRPr="00181084">
        <w:rPr>
          <w:i/>
        </w:rPr>
        <w:t>« Zéro sans solution » : Le devoir collectif de permettre un parcours de vie sans rupture,  pour les personnes en situation de handicap et pour leurs proches</w:t>
      </w:r>
      <w:r w:rsidRPr="00181084">
        <w:t xml:space="preserve"> </w:t>
      </w:r>
    </w:p>
    <w:p w14:paraId="281A5B31" w14:textId="77777777" w:rsidR="00904EE3" w:rsidRPr="00904EE3" w:rsidRDefault="00904EE3" w:rsidP="00904EE3">
      <w:pPr>
        <w:pStyle w:val="Corpsdetexte"/>
      </w:pPr>
      <w:r w:rsidRPr="00904EE3">
        <w:t xml:space="preserve">Revil H., (2017), </w:t>
      </w:r>
      <w:r w:rsidRPr="00904EE3">
        <w:rPr>
          <w:i/>
        </w:rPr>
        <w:t>Les plateformes d’intervention départementale pour l’accès aux soins et à la santé (PFIDASS) : une évaluation au prisme de leurs bénéficiaires et des acteurs qui les mettent en œuvre</w:t>
      </w:r>
      <w:r w:rsidRPr="00904EE3">
        <w:t>, ODENORE</w:t>
      </w:r>
    </w:p>
    <w:p w14:paraId="16293015" w14:textId="77777777" w:rsidR="00904EE3" w:rsidRPr="00904EE3" w:rsidRDefault="00904EE3" w:rsidP="00904EE3">
      <w:pPr>
        <w:pStyle w:val="Corpsdetexte"/>
      </w:pPr>
      <w:r w:rsidRPr="00904EE3">
        <w:t xml:space="preserve">Rochaix L., (2017), </w:t>
      </w:r>
      <w:r w:rsidRPr="00904EE3">
        <w:rPr>
          <w:i/>
        </w:rPr>
        <w:t>Déterminants sociaux et professionnels des inégalités de santé</w:t>
      </w:r>
    </w:p>
    <w:p w14:paraId="452661D5" w14:textId="77777777" w:rsidR="00904EE3" w:rsidRPr="00904EE3" w:rsidRDefault="00904EE3" w:rsidP="00904EE3">
      <w:pPr>
        <w:pStyle w:val="Corpsdetexte"/>
      </w:pPr>
      <w:r w:rsidRPr="00904EE3">
        <w:lastRenderedPageBreak/>
        <w:t xml:space="preserve">Santé publique France, (2018), </w:t>
      </w:r>
      <w:r w:rsidRPr="00904EE3">
        <w:rPr>
          <w:i/>
        </w:rPr>
        <w:t>Outils élaborés dans le cadre du programme « inégalités sociales de santé », 2013-2015</w:t>
      </w:r>
    </w:p>
    <w:p w14:paraId="6C83F7CD" w14:textId="77777777" w:rsidR="00904EE3" w:rsidRPr="00904EE3" w:rsidRDefault="00904EE3" w:rsidP="00904EE3">
      <w:pPr>
        <w:pStyle w:val="Corpsdetexte"/>
      </w:pPr>
      <w:r w:rsidRPr="00904EE3">
        <w:t xml:space="preserve">Secours populaire français, (2016), </w:t>
      </w:r>
      <w:r w:rsidRPr="00904EE3">
        <w:rPr>
          <w:i/>
        </w:rPr>
        <w:t>La solidarité en action</w:t>
      </w:r>
    </w:p>
    <w:p w14:paraId="1DC661FF" w14:textId="77777777" w:rsidR="00904EE3" w:rsidRPr="00904EE3" w:rsidRDefault="00904EE3" w:rsidP="00904EE3">
      <w:pPr>
        <w:pStyle w:val="Corpsdetexte"/>
      </w:pPr>
      <w:r w:rsidRPr="00904EE3">
        <w:t xml:space="preserve">Sirugue C. (2016), </w:t>
      </w:r>
      <w:r w:rsidRPr="00904EE3">
        <w:rPr>
          <w:i/>
        </w:rPr>
        <w:t>Rapport au premier ministre, repenser les minima sociaux</w:t>
      </w:r>
    </w:p>
    <w:p w14:paraId="5EAA241D" w14:textId="77777777" w:rsidR="00904EE3" w:rsidRPr="00904EE3" w:rsidRDefault="00904EE3" w:rsidP="00904EE3">
      <w:pPr>
        <w:pStyle w:val="Corpsdetexte"/>
      </w:pPr>
      <w:r w:rsidRPr="00904EE3">
        <w:t xml:space="preserve">Sirugue C. (2016), </w:t>
      </w:r>
      <w:r w:rsidRPr="00904EE3">
        <w:rPr>
          <w:i/>
        </w:rPr>
        <w:t>Repenser les minima sociaux : vers une couverture socle commune</w:t>
      </w:r>
    </w:p>
    <w:p w14:paraId="40385A61" w14:textId="77777777" w:rsidR="00904EE3" w:rsidRPr="00904EE3" w:rsidRDefault="00904EE3" w:rsidP="00904EE3">
      <w:pPr>
        <w:pStyle w:val="Corpsdetexte"/>
      </w:pPr>
      <w:r w:rsidRPr="00904EE3">
        <w:t xml:space="preserve">SOS Médecins, UNCCAS, (2017), </w:t>
      </w:r>
      <w:r w:rsidRPr="00904EE3">
        <w:rPr>
          <w:i/>
        </w:rPr>
        <w:t>Protocole de partenariat</w:t>
      </w:r>
      <w:r w:rsidRPr="00904EE3">
        <w:t xml:space="preserve"> </w:t>
      </w:r>
    </w:p>
    <w:p w14:paraId="4CF02004" w14:textId="77777777" w:rsidR="00904EE3" w:rsidRPr="00904EE3" w:rsidRDefault="00904EE3" w:rsidP="00904EE3">
      <w:pPr>
        <w:pStyle w:val="Corpsdetexte"/>
      </w:pPr>
      <w:r w:rsidRPr="00904EE3">
        <w:t xml:space="preserve">Spira A. (2017), Académie de médecine, </w:t>
      </w:r>
      <w:r w:rsidRPr="00904EE3">
        <w:rPr>
          <w:i/>
        </w:rPr>
        <w:t>Précarité, pauvreté et santé</w:t>
      </w:r>
    </w:p>
    <w:p w14:paraId="33091F0F" w14:textId="77777777" w:rsidR="00904EE3" w:rsidRPr="00904EE3" w:rsidRDefault="00904EE3" w:rsidP="00904EE3">
      <w:pPr>
        <w:pStyle w:val="Corpsdetexte"/>
      </w:pPr>
      <w:r w:rsidRPr="00904EE3">
        <w:t xml:space="preserve">Suhard V. et Safon M-O., (2017), </w:t>
      </w:r>
      <w:r w:rsidRPr="00904EE3">
        <w:rPr>
          <w:i/>
        </w:rPr>
        <w:t>L’accès aux soins et à la prévention des personnes en situation de handicap</w:t>
      </w:r>
      <w:r w:rsidRPr="00904EE3">
        <w:t>, IRDES</w:t>
      </w:r>
    </w:p>
    <w:p w14:paraId="7FF9419C" w14:textId="1DFB6F24" w:rsidR="00904EE3" w:rsidRPr="00904EE3" w:rsidRDefault="00D00390" w:rsidP="00904EE3">
      <w:pPr>
        <w:pStyle w:val="Corpsdetexte"/>
      </w:pPr>
      <w:r w:rsidRPr="00904EE3">
        <w:t>T</w:t>
      </w:r>
      <w:r>
        <w:t>aquet</w:t>
      </w:r>
      <w:r w:rsidRPr="00904EE3">
        <w:t xml:space="preserve"> </w:t>
      </w:r>
      <w:r w:rsidR="00904EE3" w:rsidRPr="00904EE3">
        <w:t xml:space="preserve">A., </w:t>
      </w:r>
      <w:r w:rsidRPr="00904EE3">
        <w:t>S</w:t>
      </w:r>
      <w:r>
        <w:t>erres</w:t>
      </w:r>
      <w:r w:rsidRPr="00904EE3">
        <w:t xml:space="preserve"> </w:t>
      </w:r>
      <w:r w:rsidR="00904EE3" w:rsidRPr="00904EE3">
        <w:t xml:space="preserve">J-F. (2018), </w:t>
      </w:r>
      <w:r w:rsidR="00904EE3" w:rsidRPr="00904EE3">
        <w:rPr>
          <w:i/>
        </w:rPr>
        <w:t>Plus simple la vie, 113 propositions pour améliorer le quotidien des personnes en situ</w:t>
      </w:r>
      <w:r w:rsidR="00904EE3" w:rsidRPr="00904EE3">
        <w:rPr>
          <w:i/>
        </w:rPr>
        <w:t>a</w:t>
      </w:r>
      <w:r w:rsidR="00904EE3" w:rsidRPr="00904EE3">
        <w:rPr>
          <w:i/>
        </w:rPr>
        <w:t>tion de handicap</w:t>
      </w:r>
    </w:p>
    <w:p w14:paraId="18570299" w14:textId="77777777" w:rsidR="00904EE3" w:rsidRPr="00904EE3" w:rsidRDefault="00904EE3" w:rsidP="00904EE3">
      <w:pPr>
        <w:pStyle w:val="Corpsdetexte"/>
      </w:pPr>
      <w:r w:rsidRPr="00904EE3">
        <w:t xml:space="preserve">UNCCAS, (2015), </w:t>
      </w:r>
      <w:r w:rsidRPr="00904EE3">
        <w:rPr>
          <w:i/>
        </w:rPr>
        <w:t>L’accès aux soins</w:t>
      </w:r>
    </w:p>
    <w:p w14:paraId="5D0B640C" w14:textId="77777777" w:rsidR="00904EE3" w:rsidRPr="00904EE3" w:rsidRDefault="00904EE3" w:rsidP="00904EE3">
      <w:pPr>
        <w:pStyle w:val="Corpsdetexte"/>
      </w:pPr>
      <w:r w:rsidRPr="00904EE3">
        <w:t xml:space="preserve">Ulrich et Lang T., (2015-2016), </w:t>
      </w:r>
      <w:r w:rsidRPr="00904EE3">
        <w:rPr>
          <w:i/>
        </w:rPr>
        <w:t>Les inégalités sociales de santé</w:t>
      </w:r>
      <w:r w:rsidRPr="00904EE3">
        <w:t>, DREES</w:t>
      </w:r>
    </w:p>
    <w:p w14:paraId="190A109B" w14:textId="77777777" w:rsidR="00904EE3" w:rsidRPr="00904EE3" w:rsidRDefault="00904EE3" w:rsidP="00904EE3">
      <w:pPr>
        <w:pStyle w:val="Corpsdetexte"/>
      </w:pPr>
      <w:r w:rsidRPr="00904EE3">
        <w:t xml:space="preserve">UNAPEI (2018) </w:t>
      </w:r>
      <w:r w:rsidRPr="00904EE3">
        <w:rPr>
          <w:i/>
        </w:rPr>
        <w:t>Livre blanc, préconisations santé, Les positions de l’UNAPEI, pour une offre de soins suffisante, ada</w:t>
      </w:r>
      <w:r w:rsidRPr="00904EE3">
        <w:rPr>
          <w:i/>
        </w:rPr>
        <w:t>p</w:t>
      </w:r>
      <w:r w:rsidRPr="00904EE3">
        <w:rPr>
          <w:i/>
        </w:rPr>
        <w:t>tée et coordonnée</w:t>
      </w:r>
      <w:r w:rsidRPr="00904EE3">
        <w:t>, pages 22 à 24</w:t>
      </w:r>
    </w:p>
    <w:p w14:paraId="322BC188" w14:textId="77777777" w:rsidR="00904EE3" w:rsidRPr="00904EE3" w:rsidRDefault="00904EE3" w:rsidP="00904EE3">
      <w:pPr>
        <w:pStyle w:val="Corpsdetexte"/>
      </w:pPr>
      <w:r w:rsidRPr="00904EE3">
        <w:t xml:space="preserve">Valls M, (2015), </w:t>
      </w:r>
      <w:r w:rsidRPr="00904EE3">
        <w:rPr>
          <w:i/>
        </w:rPr>
        <w:t>Référé relatif à l’accueil et à l’hébergement des demandeurs d’asile</w:t>
      </w:r>
    </w:p>
    <w:p w14:paraId="53AC5339" w14:textId="77777777" w:rsidR="00904EE3" w:rsidRPr="00904EE3" w:rsidRDefault="00904EE3" w:rsidP="00904EE3">
      <w:pPr>
        <w:pStyle w:val="Corpsdetexte"/>
      </w:pPr>
      <w:r w:rsidRPr="00904EE3">
        <w:t xml:space="preserve">Valls M., (2015), </w:t>
      </w:r>
      <w:r w:rsidRPr="00904EE3">
        <w:rPr>
          <w:i/>
        </w:rPr>
        <w:t>Évaluation de la médecine scolaire</w:t>
      </w:r>
    </w:p>
    <w:p w14:paraId="1501A33A" w14:textId="77777777" w:rsidR="00904EE3" w:rsidRPr="00904EE3" w:rsidRDefault="00904EE3" w:rsidP="00904EE3">
      <w:pPr>
        <w:pStyle w:val="Corpsdetexte"/>
      </w:pPr>
      <w:r w:rsidRPr="00904EE3">
        <w:t xml:space="preserve">Verot C. et Dulin A., (2017), </w:t>
      </w:r>
      <w:r w:rsidRPr="00904EE3">
        <w:rPr>
          <w:i/>
        </w:rPr>
        <w:t>Arrêtons de les mettre dans des cases</w:t>
      </w:r>
    </w:p>
    <w:p w14:paraId="7ADFA2A9" w14:textId="77777777" w:rsidR="00904EE3" w:rsidRPr="00904EE3" w:rsidRDefault="00904EE3" w:rsidP="00904EE3">
      <w:pPr>
        <w:pStyle w:val="Corpsdetexte"/>
      </w:pPr>
      <w:r w:rsidRPr="00904EE3">
        <w:t xml:space="preserve">Walraet E., Fuzeau M., M, Caussat L. et Delattre A., (2017), IGAS, IGF - </w:t>
      </w:r>
      <w:r w:rsidRPr="00904EE3">
        <w:rPr>
          <w:i/>
        </w:rPr>
        <w:t>La modernisation de la délivrance des prest</w:t>
      </w:r>
      <w:r w:rsidRPr="00904EE3">
        <w:rPr>
          <w:i/>
        </w:rPr>
        <w:t>a</w:t>
      </w:r>
      <w:r w:rsidRPr="00904EE3">
        <w:rPr>
          <w:i/>
        </w:rPr>
        <w:t>tions sociales</w:t>
      </w:r>
    </w:p>
    <w:p w14:paraId="70702F3E" w14:textId="77777777" w:rsidR="00904EE3" w:rsidRPr="00904EE3" w:rsidRDefault="00904EE3" w:rsidP="00904EE3">
      <w:pPr>
        <w:pStyle w:val="Corpsdetexte"/>
      </w:pPr>
    </w:p>
    <w:p w14:paraId="1AD1557C" w14:textId="77777777" w:rsidR="00904EE3" w:rsidRDefault="0075351A" w:rsidP="005822E4">
      <w:pPr>
        <w:pStyle w:val="Titre2Annexes"/>
        <w:ind w:left="0"/>
      </w:pPr>
      <w:bookmarkStart w:id="513" w:name="_Toc523327720"/>
      <w:r w:rsidRPr="0075351A">
        <w:lastRenderedPageBreak/>
        <w:t>Le champ du handicap</w:t>
      </w:r>
      <w:bookmarkEnd w:id="513"/>
    </w:p>
    <w:p w14:paraId="6BC9488A" w14:textId="052036EE" w:rsidR="0075351A" w:rsidRPr="0075351A" w:rsidRDefault="0075351A" w:rsidP="00160C5D">
      <w:pPr>
        <w:pStyle w:val="Titre6"/>
      </w:pPr>
      <w:r w:rsidRPr="0075351A">
        <w:t xml:space="preserve">Des </w:t>
      </w:r>
      <w:r w:rsidR="00437CD5">
        <w:t>catégories de handicap différentes</w:t>
      </w:r>
    </w:p>
    <w:p w14:paraId="23F0D5D0" w14:textId="4A59AFF9" w:rsidR="0075351A" w:rsidRPr="0075351A" w:rsidRDefault="0075351A" w:rsidP="0075351A">
      <w:pPr>
        <w:pStyle w:val="Corpsdetexte"/>
      </w:pPr>
      <w:r w:rsidRPr="0075351A">
        <w:t>En 2010, d’après l’enquête Emploi de l’</w:t>
      </w:r>
      <w:r w:rsidR="006D5893" w:rsidRPr="006D5893">
        <w:t xml:space="preserve"> Institut national de la statistique et des études économique </w:t>
      </w:r>
      <w:r w:rsidR="006D5893">
        <w:t>(</w:t>
      </w:r>
      <w:r w:rsidRPr="0075351A">
        <w:t>INSEE</w:t>
      </w:r>
      <w:r w:rsidR="006D5893">
        <w:t>)</w:t>
      </w:r>
      <w:r w:rsidRPr="0075351A">
        <w:t>, 11,3 millions de personnes âgées de 15 à 64 ans vivant en France métropolitaine - soit 28% de cette tranche d’âge - peuvent être considérées comme « handicapées »</w:t>
      </w:r>
      <w:r w:rsidRPr="00437CD5">
        <w:rPr>
          <w:vertAlign w:val="superscript"/>
        </w:rPr>
        <w:footnoteReference w:id="65"/>
      </w:r>
      <w:r w:rsidRPr="0075351A">
        <w:t xml:space="preserve"> au sens où elles indiquent avoir au moins une limitation fon</w:t>
      </w:r>
      <w:r w:rsidRPr="0075351A">
        <w:t>c</w:t>
      </w:r>
      <w:r w:rsidRPr="0075351A">
        <w:t xml:space="preserve">tionnelle ou une reconnaissance administrative d’un handicap. </w:t>
      </w:r>
    </w:p>
    <w:p w14:paraId="694753D1" w14:textId="70871FEA" w:rsidR="0075351A" w:rsidRPr="0075351A" w:rsidRDefault="0075351A" w:rsidP="0075351A">
      <w:pPr>
        <w:pStyle w:val="Corpsdetexte"/>
      </w:pPr>
      <w:r w:rsidRPr="0075351A">
        <w:t>15% déclarent avoir au moins une limitation fonctionnelle et une reconnaissance administrative</w:t>
      </w:r>
      <w:r w:rsidR="006D5893">
        <w:t>,</w:t>
      </w:r>
      <w:r w:rsidRPr="0075351A">
        <w:t xml:space="preserve"> soit 1,8 million de personnes</w:t>
      </w:r>
      <w:r w:rsidRPr="0075351A">
        <w:rPr>
          <w:vertAlign w:val="superscript"/>
        </w:rPr>
        <w:footnoteReference w:id="66"/>
      </w:r>
      <w:r w:rsidRPr="0075351A">
        <w:t xml:space="preserve">. </w:t>
      </w:r>
    </w:p>
    <w:p w14:paraId="70676F29" w14:textId="0AE0447B" w:rsidR="0075351A" w:rsidRPr="0075351A" w:rsidRDefault="0075351A" w:rsidP="0075351A">
      <w:pPr>
        <w:pStyle w:val="Corpsdetexte"/>
      </w:pPr>
      <w:r w:rsidRPr="0075351A">
        <w:t>La limitation motrice est la plus fréquente chez les personnes âgées de 15 à 64 ans : elle concerne 31% des pe</w:t>
      </w:r>
      <w:r w:rsidRPr="0075351A">
        <w:t>r</w:t>
      </w:r>
      <w:r w:rsidRPr="0075351A">
        <w:t xml:space="preserve">sonnes handicapées selon au moins l’un des deux critères et 38% de celles qui déclarent à la fois une limitation et une reconnaissance administrative. </w:t>
      </w:r>
    </w:p>
    <w:p w14:paraId="506338B2" w14:textId="1DEF6942" w:rsidR="00B9484F" w:rsidRPr="0075351A" w:rsidRDefault="0075351A" w:rsidP="0075351A">
      <w:pPr>
        <w:pStyle w:val="Corpsdetexte"/>
      </w:pPr>
      <w:r w:rsidRPr="0075351A">
        <w:t xml:space="preserve">83% des personnes handicapées déclarent ne pas avoir de reconnaissance administrative de leur handicap. Cette proportion reste élevée même en cas de handicap sévère. </w:t>
      </w:r>
    </w:p>
    <w:p w14:paraId="358A0167" w14:textId="58AFC885" w:rsidR="0075351A" w:rsidRPr="0075351A" w:rsidRDefault="0075351A" w:rsidP="0075351A">
      <w:pPr>
        <w:pStyle w:val="Corpsdetexte"/>
      </w:pPr>
      <w:r w:rsidRPr="0075351A">
        <w:t xml:space="preserve">2% de la population handicapée (273 000 personnes) indique posséder une reconnaissance administrative, mais sans limitation. </w:t>
      </w:r>
      <w:r w:rsidR="00A47AB3">
        <w:t>Ces personnes</w:t>
      </w:r>
      <w:r w:rsidR="00A47AB3" w:rsidRPr="0075351A">
        <w:t xml:space="preserve"> </w:t>
      </w:r>
      <w:r w:rsidRPr="0075351A">
        <w:t>bénéficient soit d’une pension d’invalidité, soit d’une reconnaissance de la qualité de travail</w:t>
      </w:r>
      <w:r w:rsidR="00160C5D">
        <w:t xml:space="preserve">leur handicapé. </w:t>
      </w:r>
    </w:p>
    <w:p w14:paraId="0A649627" w14:textId="3CE0FA44" w:rsidR="0075351A" w:rsidRPr="00014EB7" w:rsidRDefault="00014EB7" w:rsidP="0075351A">
      <w:pPr>
        <w:pStyle w:val="Lgende"/>
        <w:jc w:val="both"/>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2</w:t>
      </w:r>
      <w:r w:rsidR="00AF653A">
        <w:rPr>
          <w:noProof/>
        </w:rPr>
        <w:fldChar w:fldCharType="end"/>
      </w:r>
      <w:r>
        <w:t xml:space="preserve">- </w:t>
      </w:r>
      <w:r w:rsidR="0075351A" w:rsidRPr="00014EB7">
        <w:t xml:space="preserve">Personnes âgées de 15 à 64 ans selon la définition du handicap retenue </w:t>
      </w:r>
    </w:p>
    <w:p w14:paraId="4FE0FF74" w14:textId="77777777" w:rsidR="0075351A" w:rsidRPr="0075351A" w:rsidRDefault="0075351A" w:rsidP="0075351A">
      <w:pPr>
        <w:pStyle w:val="Corpsdetexte"/>
      </w:pPr>
      <w:r w:rsidRPr="0075351A">
        <w:rPr>
          <w:noProof/>
          <w:lang w:eastAsia="fr-FR"/>
        </w:rPr>
        <w:drawing>
          <wp:inline distT="0" distB="0" distL="0" distR="0" wp14:anchorId="2C508A97" wp14:editId="5D2E3F40">
            <wp:extent cx="4031311" cy="3781715"/>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1388" cy="3781787"/>
                    </a:xfrm>
                    <a:prstGeom prst="rect">
                      <a:avLst/>
                    </a:prstGeom>
                    <a:noFill/>
                  </pic:spPr>
                </pic:pic>
              </a:graphicData>
            </a:graphic>
          </wp:inline>
        </w:drawing>
      </w:r>
    </w:p>
    <w:p w14:paraId="05B4E235" w14:textId="77777777" w:rsidR="0075351A" w:rsidRPr="0075351A" w:rsidRDefault="0075351A" w:rsidP="00014EB7">
      <w:pPr>
        <w:pStyle w:val="Sources"/>
      </w:pPr>
      <w:r w:rsidRPr="0075351A">
        <w:t>Source : DREES, n°1003, mars 2017</w:t>
      </w:r>
    </w:p>
    <w:p w14:paraId="0756AF4C" w14:textId="77777777" w:rsidR="0075351A" w:rsidRPr="00160C5D" w:rsidRDefault="0075351A" w:rsidP="0075351A">
      <w:pPr>
        <w:pStyle w:val="Titre6"/>
      </w:pPr>
      <w:r w:rsidRPr="0075351A">
        <w:lastRenderedPageBreak/>
        <w:t>Des différences de niveau de vie importantes selon les limitations</w:t>
      </w:r>
    </w:p>
    <w:p w14:paraId="238FB840" w14:textId="77777777" w:rsidR="0075351A" w:rsidRPr="0075351A" w:rsidRDefault="0075351A" w:rsidP="0075351A">
      <w:pPr>
        <w:pStyle w:val="Corpsdetexte"/>
      </w:pPr>
      <w:r w:rsidRPr="0075351A">
        <w:t xml:space="preserve">Plus les limitations sont sévères, plus le niveau de vie est faible selon une étude de la DREES publiée en mars 2017. </w:t>
      </w:r>
    </w:p>
    <w:p w14:paraId="5B9C2738" w14:textId="0AD3F428" w:rsidR="0075351A" w:rsidRPr="0075351A" w:rsidRDefault="0075351A" w:rsidP="0075351A">
      <w:pPr>
        <w:pStyle w:val="Corpsdetexte"/>
      </w:pPr>
      <w:r w:rsidRPr="0075351A">
        <w:t>En 2010, le niveau de vie annuel médian des personnes handicapées âgées de 15 à 64 ans s’élève à 18 500 euros, soit 2</w:t>
      </w:r>
      <w:r w:rsidR="00A47AB3">
        <w:t xml:space="preserve"> </w:t>
      </w:r>
      <w:r w:rsidRPr="0075351A">
        <w:t>000 euros de moins que pour les personnes sans handicap</w:t>
      </w:r>
      <w:r w:rsidRPr="00181084">
        <w:rPr>
          <w:vertAlign w:val="superscript"/>
        </w:rPr>
        <w:footnoteReference w:id="67"/>
      </w:r>
      <w:r w:rsidRPr="0075351A">
        <w:t>.</w:t>
      </w:r>
    </w:p>
    <w:p w14:paraId="4776CD5D" w14:textId="0F77F2F1" w:rsidR="008D2731" w:rsidRDefault="0075351A" w:rsidP="0075351A">
      <w:pPr>
        <w:pStyle w:val="Corpsdetexte"/>
      </w:pPr>
      <w:r w:rsidRPr="0075351A">
        <w:t>Les personnes handicapées ayant une limitation sévère ont un niveau de vie annuel médian de 16 800 euros (1</w:t>
      </w:r>
      <w:r w:rsidR="00A47AB3">
        <w:t xml:space="preserve"> </w:t>
      </w:r>
      <w:r w:rsidRPr="0075351A">
        <w:t>400 euros par mois) soit 2</w:t>
      </w:r>
      <w:r w:rsidR="00A47AB3">
        <w:t xml:space="preserve"> </w:t>
      </w:r>
      <w:r w:rsidRPr="0075351A">
        <w:t>900 euros de moins que les personnes ayant un handicap léger et 3</w:t>
      </w:r>
      <w:r w:rsidR="00A47AB3">
        <w:t xml:space="preserve"> </w:t>
      </w:r>
      <w:r w:rsidRPr="0075351A">
        <w:t>700 euros de moins que les personnes sans handicap. La différence de niveau de vie est moins marquée en moyenne parmi celles dont le handicap est également reconnu par l’administration (1</w:t>
      </w:r>
      <w:r w:rsidR="00A47AB3">
        <w:t xml:space="preserve"> </w:t>
      </w:r>
      <w:r w:rsidRPr="0075351A">
        <w:t xml:space="preserve">900 euros par an). </w:t>
      </w:r>
    </w:p>
    <w:p w14:paraId="6C55F45A" w14:textId="07AFBD21" w:rsidR="0075351A" w:rsidRPr="0075351A" w:rsidRDefault="0075351A" w:rsidP="0075351A">
      <w:pPr>
        <w:pStyle w:val="Corpsdetexte"/>
      </w:pPr>
      <w:r w:rsidRPr="0075351A">
        <w:t>Le niveau de vie des personnes handicapées ayant une reconnaissance administrative de leur handicap est en moyenne inférieur à 5</w:t>
      </w:r>
      <w:r w:rsidR="00A47AB3">
        <w:t xml:space="preserve"> </w:t>
      </w:r>
      <w:r w:rsidRPr="0075351A">
        <w:t xml:space="preserve">300 euros par an par rapport à des personnes sans handicap. </w:t>
      </w:r>
    </w:p>
    <w:p w14:paraId="388C0566" w14:textId="6AAC8C1A" w:rsidR="0075351A" w:rsidRPr="0075351A" w:rsidRDefault="0075351A" w:rsidP="0075351A">
      <w:pPr>
        <w:pStyle w:val="Corpsdetexte"/>
      </w:pPr>
      <w:r w:rsidRPr="0075351A">
        <w:t>Selon la DREES, l’effet du handicap sur le niveau de vie résulte de deux facteurs : un effet direct «</w:t>
      </w:r>
      <w:r w:rsidR="008D2731">
        <w:t> </w:t>
      </w:r>
      <w:r w:rsidRPr="0075351A">
        <w:t xml:space="preserve"> toutes choses égales par ailleurs »</w:t>
      </w:r>
      <w:r w:rsidR="008D2731">
        <w:t xml:space="preserve"> (l</w:t>
      </w:r>
      <w:r w:rsidRPr="0075351A">
        <w:t>e revenu annuel moyen des ménages de personnes ayant un handicap contraignant co</w:t>
      </w:r>
      <w:r w:rsidRPr="0075351A">
        <w:t>m</w:t>
      </w:r>
      <w:r w:rsidRPr="0075351A">
        <w:t xml:space="preserve">porte une moindre part de revenus d’activité </w:t>
      </w:r>
      <w:r w:rsidR="008D2731">
        <w:t xml:space="preserve">que </w:t>
      </w:r>
      <w:r w:rsidRPr="0075351A">
        <w:t>l’ensemble des personnes de 15 à 64 ans</w:t>
      </w:r>
      <w:r w:rsidR="008D2731">
        <w:t xml:space="preserve"> </w:t>
      </w:r>
      <w:r w:rsidR="008D2731" w:rsidRPr="0075351A">
        <w:t>(74%</w:t>
      </w:r>
      <w:r w:rsidR="008D2731">
        <w:t xml:space="preserve"> </w:t>
      </w:r>
      <w:r w:rsidR="008D2731" w:rsidRPr="0057371A">
        <w:rPr>
          <w:i/>
        </w:rPr>
        <w:t>v</w:t>
      </w:r>
      <w:r w:rsidR="00E95A5A" w:rsidRPr="0057371A">
        <w:rPr>
          <w:i/>
        </w:rPr>
        <w:t>er</w:t>
      </w:r>
      <w:r w:rsidR="008D2731" w:rsidRPr="0057371A">
        <w:rPr>
          <w:i/>
        </w:rPr>
        <w:t>s</w:t>
      </w:r>
      <w:r w:rsidR="00E95A5A" w:rsidRPr="0057371A">
        <w:rPr>
          <w:i/>
        </w:rPr>
        <w:t>us</w:t>
      </w:r>
      <w:r w:rsidR="008D2731" w:rsidRPr="0075351A">
        <w:t xml:space="preserve"> 92%</w:t>
      </w:r>
      <w:r w:rsidRPr="0075351A">
        <w:t>)</w:t>
      </w:r>
      <w:r w:rsidR="008D2731">
        <w:t>)</w:t>
      </w:r>
      <w:r w:rsidRPr="0075351A">
        <w:t xml:space="preserve"> et un effet indirect dû à l’incidence du handicap sur les trajectoires scolaire, matrimoniale, professionnelle, etc. Cet effet indirect est étroitement lié au type de handicap et au moment où il survient. </w:t>
      </w:r>
    </w:p>
    <w:p w14:paraId="6EB7F8B0" w14:textId="7887AFF6" w:rsidR="0075351A" w:rsidRPr="0075351A" w:rsidRDefault="0075351A" w:rsidP="0075351A">
      <w:pPr>
        <w:pStyle w:val="Corpsdetexte"/>
      </w:pPr>
      <w:r w:rsidRPr="0075351A">
        <w:t>Les personnes présentant plusieurs limitations sévères et celles déclarant une limitation mentale sévère sont celles dont le niveau de vie est le plus faible. Il s’élève à 15 000 euros par an pour les personnes ayant une limitation mentale sévère (soit 5 500 euros de moins que celles n’ayant pas de handicap). 30,3% vivent sous le seuil de pa</w:t>
      </w:r>
      <w:r w:rsidRPr="0075351A">
        <w:t>u</w:t>
      </w:r>
      <w:r w:rsidRPr="0075351A">
        <w:t xml:space="preserve">vreté. </w:t>
      </w:r>
    </w:p>
    <w:p w14:paraId="22CC6197" w14:textId="42538803" w:rsidR="0075351A" w:rsidRPr="0075351A" w:rsidRDefault="0075351A" w:rsidP="0075351A">
      <w:pPr>
        <w:pStyle w:val="Corpsdetexte"/>
      </w:pPr>
      <w:r w:rsidRPr="0075351A">
        <w:t xml:space="preserve">En moyenne, le taux de pauvreté des personnes handicapées âgées de 15 à 64 ans s’élevait à 13,8% en 2010, </w:t>
      </w:r>
      <w:r w:rsidR="00160C5D">
        <w:t>soit 1,6 million de personnes.</w:t>
      </w:r>
    </w:p>
    <w:p w14:paraId="15C895D4" w14:textId="34248C79" w:rsidR="0075351A" w:rsidRPr="00713536" w:rsidRDefault="00713536" w:rsidP="0075351A">
      <w:pPr>
        <w:pStyle w:val="Lgende"/>
        <w:jc w:val="both"/>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3</w:t>
      </w:r>
      <w:r w:rsidR="00AF653A">
        <w:rPr>
          <w:noProof/>
        </w:rPr>
        <w:fldChar w:fldCharType="end"/>
      </w:r>
      <w:r>
        <w:t xml:space="preserve"> - </w:t>
      </w:r>
      <w:r w:rsidR="0075351A" w:rsidRPr="00713536">
        <w:t>Taux de pauvreté selon la limitation et son degré de sévérité</w:t>
      </w:r>
    </w:p>
    <w:p w14:paraId="4B28B3CA" w14:textId="77777777" w:rsidR="0075351A" w:rsidRPr="0075351A" w:rsidRDefault="0075351A" w:rsidP="0075351A">
      <w:pPr>
        <w:pStyle w:val="Corpsdetexte"/>
        <w:rPr>
          <w:b/>
          <w:bCs/>
        </w:rPr>
      </w:pPr>
      <w:r w:rsidRPr="0075351A">
        <w:rPr>
          <w:b/>
          <w:bCs/>
          <w:noProof/>
          <w:lang w:eastAsia="fr-FR"/>
        </w:rPr>
        <w:drawing>
          <wp:inline distT="0" distB="0" distL="0" distR="0" wp14:anchorId="6FC7070B" wp14:editId="41662AE8">
            <wp:extent cx="4133850" cy="2438400"/>
            <wp:effectExtent l="0" t="0" r="0" b="0"/>
            <wp:docPr id="25" name="Imag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71918C6-EC6C-40B2-89D5-874806318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71918C6-EC6C-40B2-89D5-874806318A44}"/>
                        </a:ext>
                      </a:extLst>
                    </pic:cNvPr>
                    <pic:cNvPicPr>
                      <a:picLocks noChangeAspect="1"/>
                    </pic:cNvPicPr>
                  </pic:nvPicPr>
                  <pic:blipFill rotWithShape="1">
                    <a:blip r:embed="rId17"/>
                    <a:srcRect l="19688" t="53750" r="46406" b="10695"/>
                    <a:stretch/>
                  </pic:blipFill>
                  <pic:spPr>
                    <a:xfrm>
                      <a:off x="0" y="0"/>
                      <a:ext cx="4133850" cy="2438400"/>
                    </a:xfrm>
                    <a:prstGeom prst="rect">
                      <a:avLst/>
                    </a:prstGeom>
                  </pic:spPr>
                </pic:pic>
              </a:graphicData>
            </a:graphic>
          </wp:inline>
        </w:drawing>
      </w:r>
    </w:p>
    <w:p w14:paraId="73863B0D" w14:textId="77777777" w:rsidR="0075351A" w:rsidRPr="0075351A" w:rsidRDefault="0075351A" w:rsidP="00160C5D">
      <w:pPr>
        <w:pStyle w:val="Sources"/>
      </w:pPr>
      <w:r w:rsidRPr="0075351A">
        <w:t>Source : DREES, n°1003, mars 2017</w:t>
      </w:r>
    </w:p>
    <w:p w14:paraId="7F94466C" w14:textId="77777777" w:rsidR="0075351A" w:rsidRPr="0075351A" w:rsidRDefault="0075351A" w:rsidP="0075351A">
      <w:pPr>
        <w:pStyle w:val="Corpsdetexte"/>
        <w:rPr>
          <w:b/>
          <w:bCs/>
        </w:rPr>
      </w:pPr>
      <w:r w:rsidRPr="0075351A">
        <w:rPr>
          <w:b/>
          <w:bCs/>
        </w:rPr>
        <w:br w:type="page"/>
      </w:r>
    </w:p>
    <w:p w14:paraId="765EA23B" w14:textId="77777777" w:rsidR="00160C5D" w:rsidRPr="00160C5D" w:rsidRDefault="00160C5D" w:rsidP="005822E4">
      <w:pPr>
        <w:pStyle w:val="Titre2Annexes"/>
        <w:ind w:left="0"/>
      </w:pPr>
      <w:bookmarkStart w:id="514" w:name="_Toc523327721"/>
      <w:r>
        <w:lastRenderedPageBreak/>
        <w:t>S</w:t>
      </w:r>
      <w:r w:rsidRPr="00160C5D">
        <w:t>ynthèse de l’étude IRDES de 2015 sur l’accès aux soins courants et préventifs des personnes en situation de handicap</w:t>
      </w:r>
      <w:bookmarkEnd w:id="514"/>
    </w:p>
    <w:p w14:paraId="27829B29" w14:textId="218CA624" w:rsidR="00160C5D" w:rsidRPr="00160C5D" w:rsidRDefault="00160C5D" w:rsidP="00160C5D">
      <w:pPr>
        <w:pStyle w:val="Corpsdetexte"/>
      </w:pPr>
      <w:r w:rsidRPr="00160C5D">
        <w:t xml:space="preserve">L’étude IRDES publiée en 2015 offre un panorama de l’accès aux soins courants et aux soins de prévention des personnes en situation de handicap en France réalisé à partir de l’enquête Handicap Santé Ménage (HSM) co-produite par </w:t>
      </w:r>
      <w:r w:rsidR="004A247E" w:rsidRPr="00160C5D">
        <w:t>l’I</w:t>
      </w:r>
      <w:r w:rsidR="004A247E">
        <w:t>NSEE</w:t>
      </w:r>
      <w:r w:rsidR="004A247E" w:rsidRPr="00160C5D">
        <w:t xml:space="preserve"> </w:t>
      </w:r>
      <w:r w:rsidRPr="00160C5D">
        <w:t xml:space="preserve">et la </w:t>
      </w:r>
      <w:r w:rsidR="004A247E">
        <w:t>DREES</w:t>
      </w:r>
      <w:r w:rsidRPr="00160C5D">
        <w:t xml:space="preserve"> et selon une méthodologie économétrique partagée pour tous les soins (régre</w:t>
      </w:r>
      <w:r w:rsidRPr="00160C5D">
        <w:t>s</w:t>
      </w:r>
      <w:r w:rsidRPr="00160C5D">
        <w:t xml:space="preserve">sions logistiques pour analyser le recours aux soins). </w:t>
      </w:r>
    </w:p>
    <w:p w14:paraId="588732C2" w14:textId="5938D028" w:rsidR="00160C5D" w:rsidRPr="00160C5D" w:rsidRDefault="00160C5D" w:rsidP="00160C5D">
      <w:pPr>
        <w:pStyle w:val="Corpsdetexte"/>
      </w:pPr>
      <w:r w:rsidRPr="00160C5D">
        <w:t xml:space="preserve">Cette annexe présente les résultats obtenus pour l’analyse de </w:t>
      </w:r>
      <w:r w:rsidR="00BC5934">
        <w:t>trois</w:t>
      </w:r>
      <w:r w:rsidR="00BC5934" w:rsidRPr="00160C5D">
        <w:t xml:space="preserve"> </w:t>
      </w:r>
      <w:r w:rsidRPr="00160C5D">
        <w:t>soins courants (les soins dentaires, les soins ophtalmologiques et les soins gynécologiques) et de quatre actes de prévention ou de dépistage (le dépistage du cancer du sein, le dépistage du cancer du col de l’utérus, le dépistage du cancer colorectal et la vaccination contre l’hépatite B) qui représentent tous des enjeux importants d’accès</w:t>
      </w:r>
      <w:r w:rsidR="00BC5934">
        <w:t xml:space="preserve"> à la santé</w:t>
      </w:r>
      <w:r w:rsidRPr="00160C5D">
        <w:t xml:space="preserve">. </w:t>
      </w:r>
    </w:p>
    <w:p w14:paraId="55B32586" w14:textId="77777777" w:rsidR="00160C5D" w:rsidRPr="00160C5D" w:rsidRDefault="00160C5D" w:rsidP="00160C5D">
      <w:pPr>
        <w:pStyle w:val="Corpsdetexte"/>
      </w:pPr>
      <w:r w:rsidRPr="00160C5D">
        <w:t xml:space="preserve">L’analyse de l’IRDES est réalisée sur deux populations en situation de handicap : </w:t>
      </w:r>
    </w:p>
    <w:p w14:paraId="54B378D8" w14:textId="2BCE75C4" w:rsidR="00160C5D" w:rsidRPr="00160C5D" w:rsidRDefault="004A247E" w:rsidP="007A1E1D">
      <w:pPr>
        <w:pStyle w:val="Listecontinue"/>
      </w:pPr>
      <w:r>
        <w:t>l</w:t>
      </w:r>
      <w:r w:rsidR="00160C5D" w:rsidRPr="00160C5D">
        <w:t xml:space="preserve">a première est composée de la population qui déclare des limitations fonctionnelles (motrices, cognitives ou sensorielles), </w:t>
      </w:r>
    </w:p>
    <w:p w14:paraId="042FD748" w14:textId="2A88AD02" w:rsidR="00160C5D" w:rsidRPr="00160C5D" w:rsidRDefault="004A247E" w:rsidP="00160C5D">
      <w:pPr>
        <w:pStyle w:val="Listecontinue"/>
      </w:pPr>
      <w:r>
        <w:t>l</w:t>
      </w:r>
      <w:r w:rsidR="00160C5D" w:rsidRPr="00160C5D">
        <w:t>a seconde repose sur la reconnaissance administrative de handicap (Allocation Adulte Handicapé [AAH], pe</w:t>
      </w:r>
      <w:r w:rsidR="00160C5D" w:rsidRPr="00160C5D">
        <w:t>n</w:t>
      </w:r>
      <w:r w:rsidR="00160C5D" w:rsidRPr="00160C5D">
        <w:t xml:space="preserve">sion d’invalidité, rente d’incapacité). </w:t>
      </w:r>
    </w:p>
    <w:p w14:paraId="3A628C58" w14:textId="77777777" w:rsidR="00160C5D" w:rsidRPr="00160C5D" w:rsidRDefault="00160C5D" w:rsidP="003555DB">
      <w:pPr>
        <w:pStyle w:val="Titre6"/>
        <w:numPr>
          <w:ilvl w:val="5"/>
          <w:numId w:val="14"/>
        </w:numPr>
      </w:pPr>
      <w:bookmarkStart w:id="515" w:name="_Toc518750598"/>
      <w:r w:rsidRPr="00160C5D">
        <w:t>L’accès aux soins courants et préventifs des individus déclarant une ou plusieurs limitations fonctionnelles</w:t>
      </w:r>
      <w:bookmarkEnd w:id="515"/>
      <w:r w:rsidRPr="00160C5D">
        <w:t xml:space="preserve"> </w:t>
      </w:r>
    </w:p>
    <w:p w14:paraId="71AEE5BB" w14:textId="77777777" w:rsidR="00160C5D" w:rsidRPr="00160C5D" w:rsidRDefault="00160C5D" w:rsidP="00160C5D">
      <w:pPr>
        <w:pStyle w:val="Titre7"/>
      </w:pPr>
      <w:bookmarkStart w:id="516" w:name="_Toc518750599"/>
      <w:r w:rsidRPr="00160C5D">
        <w:t>Une probabilité d’accès aux soins courants et préventifs réduite pour les personnes qui déclarent des limitations fonctionnelles</w:t>
      </w:r>
      <w:bookmarkEnd w:id="516"/>
      <w:r w:rsidRPr="00160C5D">
        <w:t xml:space="preserve"> </w:t>
      </w:r>
    </w:p>
    <w:p w14:paraId="5DB02800" w14:textId="5861E02B" w:rsidR="00160C5D" w:rsidRPr="00160C5D" w:rsidRDefault="00160C5D" w:rsidP="00160C5D">
      <w:pPr>
        <w:pStyle w:val="Corpsdetexte"/>
      </w:pPr>
      <w:r w:rsidRPr="00160C5D">
        <w:t xml:space="preserve">Si la probabilité de recourir aux soins dentaires de la population générale dans les 12 derniers mois est de 56%, la probabilité de recours est réduite pour les personnes déclarant des limitations motrices (-8 points de pourcentage) par rapport aux personnes sans limitation motrice, à sexe, âge, autres limitations et besoins dentaires équivalents, et même de 12 points pour les personnes en fauteuil roulant (modèle 1, tableau 1). La probabilité de recours est également réduite de 5 points pour les personnes déclarant des limitations cognitives (modèle 1, tableau 1). </w:t>
      </w:r>
    </w:p>
    <w:p w14:paraId="49FB6596" w14:textId="77777777" w:rsidR="00160C5D" w:rsidRPr="00160C5D" w:rsidRDefault="00160C5D" w:rsidP="00160C5D">
      <w:pPr>
        <w:pStyle w:val="Corpsdetexte"/>
      </w:pPr>
      <w:r w:rsidRPr="00160C5D">
        <w:t xml:space="preserve">Il en est de même pour les soins gynécologiques : la probabilité moyenne de recours des femmes est de 49% mais elle est réduite de 12 points pour les femmes déclarant des limitations motrices, de 19 points pour les femmes en fauteuil roulant et de 9 points pour les femmes déclarant des limitations cognitives (modèle 1, tableau 1). </w:t>
      </w:r>
    </w:p>
    <w:p w14:paraId="4C750050" w14:textId="3DE1C589" w:rsidR="00160C5D" w:rsidRPr="00160C5D" w:rsidRDefault="00160C5D" w:rsidP="00160C5D">
      <w:pPr>
        <w:pStyle w:val="Corpsdetexte"/>
      </w:pPr>
      <w:r w:rsidRPr="00160C5D">
        <w:t xml:space="preserve">Ce constat se vérifie également pour les soins préventifs. En population générale, deux actes préventifs </w:t>
      </w:r>
      <w:r w:rsidR="004A247E">
        <w:t xml:space="preserve">- </w:t>
      </w:r>
      <w:r w:rsidRPr="00160C5D">
        <w:t>le frottis et la mammographie</w:t>
      </w:r>
      <w:r w:rsidR="004A247E">
        <w:t xml:space="preserve"> </w:t>
      </w:r>
      <w:r w:rsidRPr="00160C5D">
        <w:t xml:space="preserve">- sont associés à une probabilité de recours élevée (80%) tandis que la probabilité de recours au dépistage du cancer du côlon et à la vaccination contre l’hépatite B est plus réduite (respectivement 40% et 45%). Les personnes qui déclarent des limitations fonctionnelles affichent un recours réduit à ces soins préventifs (modèle 1, tableau 2) dans des proportions variables selon les types de limitations : de -9 à -14,5 points pour le frottis cervico-utérin, de -4,7 à -25 points pour la mammographie, de -16  à -18 points pour la vaccination contre l’hépatite B et de -13 à -27 points pour le dépistage du cancer du côlon (modèle 1, tableau 2). Quel que soit le soin considéré, le différentiel de recours est toujours le plus élevé pour les personnes qui sont en fauteuil roulant. </w:t>
      </w:r>
    </w:p>
    <w:p w14:paraId="3F99C837" w14:textId="77777777" w:rsidR="00160C5D" w:rsidRPr="00160C5D" w:rsidRDefault="00160C5D" w:rsidP="00160C5D">
      <w:pPr>
        <w:pStyle w:val="Titre7"/>
      </w:pPr>
      <w:bookmarkStart w:id="517" w:name="_Toc518750600"/>
      <w:r w:rsidRPr="00160C5D">
        <w:lastRenderedPageBreak/>
        <w:t>Après intégration des variables sociales, les différentiels d’accès sont souvent réduits, voire annulés, pour les personnes déclarant des limitations fonctionnelles</w:t>
      </w:r>
      <w:bookmarkEnd w:id="517"/>
      <w:r w:rsidRPr="00160C5D">
        <w:t xml:space="preserve"> </w:t>
      </w:r>
    </w:p>
    <w:p w14:paraId="09A2C6F1" w14:textId="77777777" w:rsidR="00160C5D" w:rsidRPr="00160C5D" w:rsidRDefault="00160C5D" w:rsidP="00160C5D">
      <w:pPr>
        <w:pStyle w:val="Corpsdetexte"/>
      </w:pPr>
      <w:r w:rsidRPr="00160C5D">
        <w:t>Après intégration des variables sociales (diplôme, revenu, couverture complémentaire), il n’existe plus de différe</w:t>
      </w:r>
      <w:r w:rsidRPr="00160C5D">
        <w:t>n</w:t>
      </w:r>
      <w:r w:rsidRPr="00160C5D">
        <w:t>tiel significatif d’accès aux soins dentaires et gynécologiques pour les personnes qui déclarent des limitations cognitives, ni de différentiel d’accès à la mammographie pour les femmes qui déclarent des limitations motrices sans être en fauteuil. Ce résultat peut être rattaché au fait que les personnes déclarant des limitations fonctio</w:t>
      </w:r>
      <w:r w:rsidRPr="00160C5D">
        <w:t>n</w:t>
      </w:r>
      <w:r w:rsidRPr="00160C5D">
        <w:t xml:space="preserve">nelles présentent plus souvent des caractéristiques socio-économiques défavorables, ce qui peut expliquer leur moindre accès aux soins. </w:t>
      </w:r>
    </w:p>
    <w:p w14:paraId="44B6C0AD" w14:textId="77777777" w:rsidR="00160C5D" w:rsidRPr="00160C5D" w:rsidRDefault="00160C5D" w:rsidP="00160C5D">
      <w:pPr>
        <w:pStyle w:val="Corpsdetexte"/>
      </w:pPr>
      <w:r w:rsidRPr="00160C5D">
        <w:t xml:space="preserve">En revanche, un différentiel de recours quasiment de même ampleur à celui qui prévalait avant intégration des variables sociales persiste pour les personnes qui sont en fauteuil roulant (soins dentaires, soins gynécologiques, frottis, mammographie, dépistage du cancer du côlon, vaccination contre l’hépatite B) et pour les femmes qui ont des limitations motrices sans être en fauteuil (pour les soins gynécologiques). La relative stabilité des résultats obtenus sur ces personnes avant et après prise en compte des variables sociales laisse place à d’autres hypothèses explicatives du moindre recours aux soins, telles que l’accessibilité physique aux structures de soins. </w:t>
      </w:r>
    </w:p>
    <w:p w14:paraId="320A7E5F" w14:textId="2A5C3C7A" w:rsidR="00160C5D" w:rsidRPr="00160C5D" w:rsidRDefault="00160C5D" w:rsidP="00160C5D">
      <w:pPr>
        <w:pStyle w:val="Corpsdetexte"/>
      </w:pPr>
      <w:r w:rsidRPr="00160C5D">
        <w:t xml:space="preserve">S’agissant des soins préventifs </w:t>
      </w:r>
      <w:r w:rsidR="004A247E">
        <w:t xml:space="preserve">- </w:t>
      </w:r>
      <w:r w:rsidRPr="00160C5D">
        <w:t>et pour les indicateurs de handicap autres que le fauteuil roulant</w:t>
      </w:r>
      <w:r w:rsidR="004A247E">
        <w:t xml:space="preserve"> -</w:t>
      </w:r>
      <w:r w:rsidRPr="00160C5D">
        <w:t>, la prise en compte des variables sociales permet d’atténuer le différentiel de recours pour le frottis et la mammographie. Le différentiel de recours au frottis des femmes ayant des limitations motrices ou celui des femmes ayant des limit</w:t>
      </w:r>
      <w:r w:rsidRPr="00160C5D">
        <w:t>a</w:t>
      </w:r>
      <w:r w:rsidRPr="00160C5D">
        <w:t xml:space="preserve">tions cognitives passe de 9 à 4 points. Le différentiel de probabilité de recours à la mammographie des femmes ayant des limitations motrices passe de 4,7 points à 2,5 points, tandis qu’il passe de 7 points à 5 points pour les femmes qui ont des limitations cognitives. Une partie du différentiel de recours à ces soins s’explique par le fait que les femmes déclarent des limitations fonctionnelles présentent plus souvent des caractéristiques socio-économiques moins favorables, traditionnellement associées à un moindre recours et une moindre sensibilisation aux actes de dépistage. </w:t>
      </w:r>
    </w:p>
    <w:p w14:paraId="579ECDF7" w14:textId="77777777" w:rsidR="00160C5D" w:rsidRPr="00160C5D" w:rsidRDefault="00160C5D" w:rsidP="00160C5D">
      <w:pPr>
        <w:pStyle w:val="Corpsdetexte"/>
      </w:pPr>
      <w:r w:rsidRPr="00160C5D">
        <w:t>En revanche, pour le dépistage du cancer du côlon et la vaccination contre l’hépatite B, le différentiel négatif d’accès aux soins des personnes qui déclarent des limitations fonctionnelles n’évolue que très marginalement après prise en charge des variables sociales. D’autres obstacles peuvent alors expliquer la persistance de ce diff</w:t>
      </w:r>
      <w:r w:rsidRPr="00160C5D">
        <w:t>é</w:t>
      </w:r>
      <w:r w:rsidRPr="00160C5D">
        <w:t xml:space="preserve">rentiel de recours : les difficultés d’ordre physique entravant la réalisation du test du dépistage du cancer du côlon, le manque d’information ou de sensibilisation de la population des personnes handicapées, etc. </w:t>
      </w:r>
    </w:p>
    <w:p w14:paraId="02505334" w14:textId="77777777" w:rsidR="00160C5D" w:rsidRPr="00160C5D" w:rsidRDefault="00160C5D" w:rsidP="00160C5D">
      <w:pPr>
        <w:pStyle w:val="Titre6"/>
      </w:pPr>
      <w:bookmarkStart w:id="518" w:name="_Toc518750601"/>
      <w:r w:rsidRPr="00160C5D">
        <w:t>L’accès aux soins courants et préventifs des personnes déclarant une reconnaissance administrative de handicap</w:t>
      </w:r>
      <w:bookmarkEnd w:id="518"/>
      <w:r w:rsidRPr="00160C5D">
        <w:t xml:space="preserve"> </w:t>
      </w:r>
    </w:p>
    <w:p w14:paraId="5E949687" w14:textId="4C694CB0" w:rsidR="00160C5D" w:rsidRPr="00160C5D" w:rsidRDefault="00160C5D" w:rsidP="00160C5D">
      <w:pPr>
        <w:pStyle w:val="Titre7"/>
      </w:pPr>
      <w:bookmarkStart w:id="519" w:name="_Toc518750602"/>
      <w:r w:rsidRPr="00160C5D">
        <w:t>Un différentiel de recours aux soins courants et préventifs qui affecte principalement les bénéficiaires de l’AAH</w:t>
      </w:r>
      <w:bookmarkEnd w:id="519"/>
      <w:r w:rsidRPr="00160C5D">
        <w:t xml:space="preserve"> </w:t>
      </w:r>
    </w:p>
    <w:p w14:paraId="055FB26F" w14:textId="77777777" w:rsidR="00160C5D" w:rsidRPr="00160C5D" w:rsidRDefault="00160C5D" w:rsidP="00160C5D">
      <w:pPr>
        <w:pStyle w:val="Corpsdetexte"/>
      </w:pPr>
      <w:r w:rsidRPr="00160C5D">
        <w:t>Les personnes bénéficiaires de l’AAH ont une probabilité de recours aux soins courants et aux actes préventifs réduite de façon significative par rapport aux personnes sans reconnaissance administrative de handicap, dans une proportion qui varie de -9 points pour les soins dentaires, la mammographie, la vaccination contre l’hépatite B à -17 points pour les soins gynécologiques et le frottis cervico-utérin tandis que le différentiel atteint même -19 points pour le dépistage du cancer du côlon (tableaux 3 et 4, modèle 1). Les autres types de reconnaissance adm</w:t>
      </w:r>
      <w:r w:rsidRPr="00160C5D">
        <w:t>i</w:t>
      </w:r>
      <w:r w:rsidRPr="00160C5D">
        <w:t xml:space="preserve">nistrative de handicap (pension d’invalidité, rente d’incapacité) sont plus rarement associés à une réduction de la probabilité de recourir aux soins courants ou à la prévention, exception faite des femmes titulaires d’une pension d’invalidité qui ont une probabilité réduite de 4 points de recourir au frottis par rapport à celles n’ayant pas déclaré de reconnaissance administrative de handicap (tableau 4, modèle 1). </w:t>
      </w:r>
    </w:p>
    <w:p w14:paraId="434CFA55" w14:textId="5E7912BC" w:rsidR="00160C5D" w:rsidRPr="00160C5D" w:rsidRDefault="00160C5D" w:rsidP="00160C5D">
      <w:pPr>
        <w:pStyle w:val="Corpsdetexte"/>
      </w:pPr>
      <w:r w:rsidRPr="00160C5D">
        <w:t xml:space="preserve">Au contraire des titulaires d’une pension d’invalidité ou d’une rente d’incapacité qui bénéficient d’une prise en charge intégrale de leurs dépenses de santé </w:t>
      </w:r>
      <w:r w:rsidR="004A247E">
        <w:t xml:space="preserve">- </w:t>
      </w:r>
      <w:r w:rsidRPr="00160C5D">
        <w:t>dans les limites des tarifs de remboursement de la sécurité sociale</w:t>
      </w:r>
      <w:r w:rsidR="004A247E">
        <w:t xml:space="preserve"> -</w:t>
      </w:r>
      <w:r w:rsidRPr="00160C5D">
        <w:t xml:space="preserve">, les bénéficiaires de l’AAH sont considérés comme des assurés de droit commun et ne peuvent compter que sur l’ALD </w:t>
      </w:r>
      <w:r w:rsidR="004A247E">
        <w:t xml:space="preserve">- </w:t>
      </w:r>
      <w:r w:rsidRPr="00160C5D">
        <w:t>lorsqu’ils y sont éligibles</w:t>
      </w:r>
      <w:r w:rsidR="004A247E">
        <w:t xml:space="preserve"> -</w:t>
      </w:r>
      <w:r w:rsidRPr="00160C5D">
        <w:t xml:space="preserve"> pour bénéficier d’une prise en charge à 100% pour les dépenses de soins qui sont en lien avec leur pathologie exonérante. Au final, le régime de la pension d’invalidité et de la rente d’incapacité s’avère plus protecteur que celui de l’AAH, ce qui peut expliquer au moins en partie le différentiel de recours. </w:t>
      </w:r>
    </w:p>
    <w:p w14:paraId="7B2C5695" w14:textId="772E0090" w:rsidR="00160C5D" w:rsidRPr="00160C5D" w:rsidRDefault="00160C5D" w:rsidP="0057371A">
      <w:pPr>
        <w:pStyle w:val="Titre7"/>
      </w:pPr>
      <w:bookmarkStart w:id="520" w:name="_Toc518750603"/>
      <w:r w:rsidRPr="00160C5D">
        <w:lastRenderedPageBreak/>
        <w:t>Après introduction des variables sociales, un différentiel de recours pour les bénéficiaires de l’AAH qui se résorbe ou qui persiste selon les soins</w:t>
      </w:r>
      <w:bookmarkEnd w:id="520"/>
      <w:r w:rsidRPr="00160C5D">
        <w:t>.</w:t>
      </w:r>
    </w:p>
    <w:p w14:paraId="6F028BCF" w14:textId="77777777" w:rsidR="00160C5D" w:rsidRPr="00160C5D" w:rsidRDefault="00160C5D" w:rsidP="00160C5D">
      <w:pPr>
        <w:pStyle w:val="Corpsdetexte"/>
      </w:pPr>
      <w:r w:rsidRPr="00160C5D">
        <w:t>Après prise en compte des variables sociales, la probabilité de recourir aux soins dentaires et à la mammographie n’est pas significativement différente pour les bénéficiaires de l’AAH comparativement aux personnes qui n’ont pas de reconnaissance administrative de handicap (tableaux 3 et 4, modèle 2). Les bénéficiaires de l’AAH sont plus souvent dans une situation socio-économique défavorable qui réduit la prob</w:t>
      </w:r>
      <w:r w:rsidR="007A1E1D">
        <w:t xml:space="preserve">abilité de recourir aux soins. </w:t>
      </w:r>
    </w:p>
    <w:p w14:paraId="4FBA83CD" w14:textId="77777777" w:rsidR="004572E1" w:rsidRDefault="00160C5D" w:rsidP="009B697F">
      <w:pPr>
        <w:pStyle w:val="Corpsdetexte"/>
      </w:pPr>
      <w:r w:rsidRPr="00160C5D">
        <w:t>En revanche, les bénéficiaires de l’AAH demeurent confrontés à un différentiel de la probabilité de recourir au frottis cervico-utérin et aux soins gynécologiques, certes réduit de moitié après prise en compte des variables s</w:t>
      </w:r>
      <w:r w:rsidRPr="00160C5D">
        <w:t>o</w:t>
      </w:r>
      <w:r w:rsidRPr="00160C5D">
        <w:t xml:space="preserve">ciales mais qui continue de s’établir entre 7 et 9 points (tableaux 3 et 4, modèle 2). Le différentiel s’établit même à 15 points après prise en compte des variables sociales pour le dépistage du cancer du côlon et demeure inchangé à 9 points pour la vaccination contre l’hépatite B. Les difficultés d’accès physique aux bâtiments ou équipements médicaux expliquent sans doute en partie ce différentiel de recours, notamment pour les personnes déclarant des limitations motrices, et plus encore pour celles en fauteuil roulant. Sont susceptibles de s’ajouter des obstacles spécifiques comme les difficultés de réalisation du test Hemoccult et d’autres comme les complications liées à l’expression des besoins, l’attitude des professionnels de santé, la tarification inadéquate des consultations plus longues liées à l’accueil des personnes en situation de handicap. </w:t>
      </w:r>
    </w:p>
    <w:p w14:paraId="415F3633" w14:textId="525F2694" w:rsidR="00D52533" w:rsidRDefault="00AF653A" w:rsidP="00D52533">
      <w:pPr>
        <w:pStyle w:val="Lgende"/>
      </w:pPr>
      <w:r>
        <w:rPr>
          <w:noProof/>
        </w:rPr>
        <w:fldChar w:fldCharType="begin"/>
      </w:r>
      <w:r>
        <w:rPr>
          <w:noProof/>
        </w:rPr>
        <w:instrText xml:space="preserve"> SEQ Tableau \* ARABIC </w:instrText>
      </w:r>
      <w:r>
        <w:rPr>
          <w:noProof/>
        </w:rPr>
        <w:fldChar w:fldCharType="separate"/>
      </w:r>
      <w:r w:rsidR="00F20957">
        <w:rPr>
          <w:noProof/>
        </w:rPr>
        <w:t>4</w:t>
      </w:r>
      <w:r>
        <w:rPr>
          <w:noProof/>
        </w:rPr>
        <w:fldChar w:fldCharType="end"/>
      </w:r>
      <w:r w:rsidR="00D52533">
        <w:t xml:space="preserve"> </w:t>
      </w:r>
      <w:r w:rsidR="00CF3515">
        <w:t>t</w:t>
      </w:r>
      <w:r w:rsidR="00D52533" w:rsidRPr="00D52533">
        <w:t xml:space="preserve">ableaux sur le recours aux soins courants et préventifs des personnes en situation de handicap </w:t>
      </w:r>
    </w:p>
    <w:p w14:paraId="7CAF1D7D" w14:textId="77777777" w:rsidR="007A1E1D" w:rsidRDefault="007A1E1D" w:rsidP="007A1E1D">
      <w:pPr>
        <w:pStyle w:val="Corpsdetexte"/>
        <w:rPr>
          <w:b/>
        </w:rPr>
      </w:pPr>
      <w:r w:rsidRPr="007A1E1D">
        <w:rPr>
          <w:b/>
        </w:rPr>
        <w:t xml:space="preserve">Tableau 1 : Recours aux soins dentaires et aux soins gynécologiques des personnes déclarant des limitations fonctionnelles </w:t>
      </w:r>
    </w:p>
    <w:tbl>
      <w:tblPr>
        <w:tblStyle w:val="Grilledutableau"/>
        <w:tblW w:w="0" w:type="auto"/>
        <w:tblInd w:w="85" w:type="dxa"/>
        <w:tblLook w:val="04A0" w:firstRow="1" w:lastRow="0" w:firstColumn="1" w:lastColumn="0" w:noHBand="0" w:noVBand="1"/>
      </w:tblPr>
      <w:tblGrid>
        <w:gridCol w:w="3403"/>
        <w:gridCol w:w="2551"/>
        <w:gridCol w:w="2410"/>
      </w:tblGrid>
      <w:tr w:rsidR="001D37A9" w:rsidRPr="00181084" w14:paraId="01A7471D" w14:textId="77777777" w:rsidTr="0057371A">
        <w:trPr>
          <w:trHeight w:hRule="exact" w:val="849"/>
        </w:trPr>
        <w:tc>
          <w:tcPr>
            <w:cnfStyle w:val="001000000000" w:firstRow="0" w:lastRow="0" w:firstColumn="1" w:lastColumn="0" w:oddVBand="0" w:evenVBand="0" w:oddHBand="0" w:evenHBand="0" w:firstRowFirstColumn="0" w:firstRowLastColumn="0" w:lastRowFirstColumn="0" w:lastRowLastColumn="0"/>
            <w:tcW w:w="0" w:type="dxa"/>
            <w:shd w:val="clear" w:color="auto" w:fill="D6E3BC" w:themeFill="accent3" w:themeFillTint="66"/>
          </w:tcPr>
          <w:p w14:paraId="79856D1C" w14:textId="77777777" w:rsidR="007A1E1D" w:rsidRPr="00181084" w:rsidRDefault="007A1E1D" w:rsidP="00337E5D">
            <w:pPr>
              <w:pStyle w:val="Corpsdetexte"/>
              <w:rPr>
                <w:rFonts w:asciiTheme="minorHAnsi" w:eastAsia="Calibri" w:hAnsiTheme="minorHAnsi"/>
                <w:b/>
                <w:sz w:val="18"/>
                <w:szCs w:val="18"/>
              </w:rPr>
            </w:pPr>
            <w:r w:rsidRPr="00181084">
              <w:rPr>
                <w:rFonts w:asciiTheme="minorHAnsi" w:eastAsia="Calibri" w:hAnsiTheme="minorHAnsi"/>
                <w:b/>
                <w:sz w:val="18"/>
                <w:szCs w:val="18"/>
              </w:rPr>
              <w:t xml:space="preserve">Soins dentaires (Probabilité de recours en population générale : 56%) </w:t>
            </w:r>
          </w:p>
          <w:p w14:paraId="0EB7CC5A" w14:textId="77777777" w:rsidR="007A1E1D" w:rsidRPr="00181084" w:rsidRDefault="007A1E1D" w:rsidP="0061524B">
            <w:pPr>
              <w:pStyle w:val="Corpsdetexte"/>
              <w:rPr>
                <w:rFonts w:asciiTheme="minorHAnsi" w:eastAsia="Calibri" w:hAnsiTheme="minorHAnsi"/>
                <w:b/>
                <w:sz w:val="18"/>
                <w:szCs w:val="18"/>
              </w:rPr>
            </w:pPr>
          </w:p>
        </w:tc>
        <w:tc>
          <w:tcPr>
            <w:tcW w:w="0" w:type="dxa"/>
            <w:shd w:val="clear" w:color="auto" w:fill="D6E3BC" w:themeFill="accent3" w:themeFillTint="66"/>
          </w:tcPr>
          <w:p w14:paraId="3C2751DE" w14:textId="77777777" w:rsidR="007A1E1D" w:rsidRPr="0057371A" w:rsidRDefault="007A1E1D" w:rsidP="00FF6DC6">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57371A">
              <w:rPr>
                <w:rFonts w:asciiTheme="minorHAnsi" w:hAnsiTheme="minorHAnsi"/>
                <w:sz w:val="18"/>
                <w:szCs w:val="18"/>
              </w:rPr>
              <w:t>Modèle 1 (variables dém</w:t>
            </w:r>
            <w:r w:rsidRPr="0057371A">
              <w:rPr>
                <w:rFonts w:asciiTheme="minorHAnsi" w:hAnsiTheme="minorHAnsi"/>
                <w:sz w:val="18"/>
                <w:szCs w:val="18"/>
              </w:rPr>
              <w:t>o</w:t>
            </w:r>
            <w:r w:rsidRPr="0057371A">
              <w:rPr>
                <w:rFonts w:asciiTheme="minorHAnsi" w:hAnsiTheme="minorHAnsi"/>
                <w:sz w:val="18"/>
                <w:szCs w:val="18"/>
              </w:rPr>
              <w:t xml:space="preserve">graphiques + besoins de soins) </w:t>
            </w:r>
          </w:p>
        </w:tc>
        <w:tc>
          <w:tcPr>
            <w:tcW w:w="0" w:type="dxa"/>
            <w:shd w:val="clear" w:color="auto" w:fill="D6E3BC" w:themeFill="accent3" w:themeFillTint="66"/>
          </w:tcPr>
          <w:p w14:paraId="4B7C7BD4" w14:textId="77777777" w:rsidR="007A1E1D" w:rsidRPr="0057371A" w:rsidRDefault="007A1E1D" w:rsidP="00181084">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57371A">
              <w:rPr>
                <w:rFonts w:asciiTheme="minorHAnsi" w:hAnsiTheme="minorHAnsi"/>
                <w:sz w:val="18"/>
                <w:szCs w:val="18"/>
              </w:rPr>
              <w:t xml:space="preserve">Modèle 2 (Modèle 1 + variables sociales) </w:t>
            </w:r>
          </w:p>
        </w:tc>
      </w:tr>
      <w:tr w:rsidR="007A1E1D" w:rsidRPr="00181084" w14:paraId="284B8065"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095FE7E0"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Fauteuil roulant (réf : pas de limitations motrices) </w:t>
            </w:r>
          </w:p>
        </w:tc>
        <w:tc>
          <w:tcPr>
            <w:tcW w:w="2551" w:type="dxa"/>
            <w:shd w:val="clear" w:color="auto" w:fill="C4BC96" w:themeFill="background2" w:themeFillShade="BF"/>
          </w:tcPr>
          <w:p w14:paraId="3F4F22AA" w14:textId="77777777" w:rsidR="007A1E1D" w:rsidRPr="00181084" w:rsidRDefault="007A1E1D" w:rsidP="00337E5D">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-0.117**</w:t>
            </w:r>
          </w:p>
        </w:tc>
        <w:tc>
          <w:tcPr>
            <w:tcW w:w="2410" w:type="dxa"/>
            <w:shd w:val="clear" w:color="auto" w:fill="C4BC96" w:themeFill="background2" w:themeFillShade="BF"/>
          </w:tcPr>
          <w:p w14:paraId="59F1B221" w14:textId="77777777" w:rsidR="007A1E1D" w:rsidRPr="00181084" w:rsidRDefault="007A1E1D" w:rsidP="0061524B">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-0.115**</w:t>
            </w:r>
          </w:p>
        </w:tc>
      </w:tr>
      <w:tr w:rsidR="007A1E1D" w:rsidRPr="00181084" w14:paraId="0D742BA0"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73896573" w14:textId="2757EAD0"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motrices mais sans fauteuil roulant (réf : pas de lim. </w:t>
            </w:r>
            <w:r w:rsidR="00CF3515">
              <w:rPr>
                <w:rFonts w:asciiTheme="minorHAnsi" w:eastAsia="Calibri" w:hAnsiTheme="minorHAnsi" w:cstheme="minorHAnsi"/>
                <w:sz w:val="18"/>
                <w:szCs w:val="18"/>
              </w:rPr>
              <w:t>m</w:t>
            </w:r>
            <w:r w:rsidRPr="00181084">
              <w:rPr>
                <w:rFonts w:asciiTheme="minorHAnsi" w:eastAsia="Calibri" w:hAnsiTheme="minorHAnsi" w:cstheme="minorHAnsi"/>
                <w:sz w:val="18"/>
                <w:szCs w:val="18"/>
              </w:rPr>
              <w:t xml:space="preserve">otrices) </w:t>
            </w:r>
          </w:p>
        </w:tc>
        <w:tc>
          <w:tcPr>
            <w:tcW w:w="2551" w:type="dxa"/>
            <w:shd w:val="clear" w:color="auto" w:fill="C4BC96" w:themeFill="background2" w:themeFillShade="BF"/>
          </w:tcPr>
          <w:p w14:paraId="7905E6E8" w14:textId="77777777" w:rsidR="007A1E1D" w:rsidRPr="00181084" w:rsidRDefault="007A1E1D" w:rsidP="00337E5D">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-0.0784***</w:t>
            </w:r>
          </w:p>
        </w:tc>
        <w:tc>
          <w:tcPr>
            <w:tcW w:w="2410" w:type="dxa"/>
          </w:tcPr>
          <w:p w14:paraId="7278557A" w14:textId="77777777" w:rsidR="007A1E1D" w:rsidRPr="00181084" w:rsidRDefault="007A1E1D" w:rsidP="0061524B">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-0.0339</w:t>
            </w:r>
          </w:p>
        </w:tc>
      </w:tr>
      <w:tr w:rsidR="007A1E1D" w:rsidRPr="00181084" w14:paraId="1982FDA2"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3CBA47CE" w14:textId="3F879213"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cognitives (réf : pas de limitations cognitives) </w:t>
            </w:r>
          </w:p>
        </w:tc>
        <w:tc>
          <w:tcPr>
            <w:tcW w:w="2551" w:type="dxa"/>
            <w:shd w:val="clear" w:color="auto" w:fill="C4BC96" w:themeFill="background2" w:themeFillShade="BF"/>
          </w:tcPr>
          <w:p w14:paraId="516189E5" w14:textId="77777777" w:rsidR="007A1E1D" w:rsidRPr="00181084" w:rsidRDefault="007A1E1D" w:rsidP="00337E5D">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-0.0539*</w:t>
            </w:r>
          </w:p>
        </w:tc>
        <w:tc>
          <w:tcPr>
            <w:tcW w:w="2410" w:type="dxa"/>
          </w:tcPr>
          <w:p w14:paraId="25F3EACA" w14:textId="77777777" w:rsidR="007A1E1D" w:rsidRPr="00181084" w:rsidRDefault="007A1E1D" w:rsidP="0061524B">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-0.0160</w:t>
            </w:r>
          </w:p>
        </w:tc>
      </w:tr>
      <w:tr w:rsidR="007A1E1D" w:rsidRPr="00181084" w14:paraId="05F0C10A"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5148F6CF"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visuelles (réf : pas de limit</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tions visuelles) </w:t>
            </w:r>
          </w:p>
        </w:tc>
        <w:tc>
          <w:tcPr>
            <w:tcW w:w="2551" w:type="dxa"/>
          </w:tcPr>
          <w:p w14:paraId="77313D8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-0.0390</w:t>
            </w:r>
          </w:p>
        </w:tc>
        <w:tc>
          <w:tcPr>
            <w:tcW w:w="2410" w:type="dxa"/>
          </w:tcPr>
          <w:p w14:paraId="37139966"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-0.0219</w:t>
            </w:r>
          </w:p>
        </w:tc>
      </w:tr>
      <w:tr w:rsidR="007A1E1D" w:rsidRPr="00181084" w14:paraId="639E450F"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002A4E17"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auditives (réf : pas de limit</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tions auditives) </w:t>
            </w:r>
          </w:p>
        </w:tc>
        <w:tc>
          <w:tcPr>
            <w:tcW w:w="2551" w:type="dxa"/>
          </w:tcPr>
          <w:p w14:paraId="7202775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0.0138</w:t>
            </w:r>
          </w:p>
        </w:tc>
        <w:tc>
          <w:tcPr>
            <w:tcW w:w="2410" w:type="dxa"/>
          </w:tcPr>
          <w:p w14:paraId="63A8F3C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0.0224</w:t>
            </w:r>
          </w:p>
        </w:tc>
      </w:tr>
      <w:tr w:rsidR="001D37A9" w:rsidRPr="00181084" w14:paraId="041BADA1" w14:textId="77777777" w:rsidTr="0057371A">
        <w:trPr>
          <w:trHeight w:hRule="exact" w:val="855"/>
        </w:trPr>
        <w:tc>
          <w:tcPr>
            <w:cnfStyle w:val="001000000000" w:firstRow="0" w:lastRow="0" w:firstColumn="1" w:lastColumn="0" w:oddVBand="0" w:evenVBand="0" w:oddHBand="0" w:evenHBand="0" w:firstRowFirstColumn="0" w:firstRowLastColumn="0" w:lastRowFirstColumn="0" w:lastRowLastColumn="0"/>
            <w:tcW w:w="0" w:type="dxa"/>
            <w:shd w:val="clear" w:color="auto" w:fill="D6E3BC" w:themeFill="accent3" w:themeFillTint="66"/>
          </w:tcPr>
          <w:p w14:paraId="49CC29C3" w14:textId="77777777" w:rsidR="007A1E1D" w:rsidRPr="00181084" w:rsidRDefault="007A1E1D" w:rsidP="007A1E1D">
            <w:pPr>
              <w:pStyle w:val="Corpsdetexte"/>
              <w:rPr>
                <w:rFonts w:asciiTheme="minorHAnsi" w:eastAsia="Calibri" w:hAnsiTheme="minorHAnsi" w:cstheme="minorHAnsi"/>
                <w:b/>
                <w:sz w:val="18"/>
                <w:szCs w:val="18"/>
              </w:rPr>
            </w:pPr>
            <w:r w:rsidRPr="00181084">
              <w:rPr>
                <w:rFonts w:asciiTheme="minorHAnsi" w:eastAsia="Calibri" w:hAnsiTheme="minorHAnsi" w:cstheme="minorHAnsi"/>
                <w:b/>
                <w:sz w:val="18"/>
                <w:szCs w:val="18"/>
              </w:rPr>
              <w:t xml:space="preserve">Soins gynécologiques (Probabilité de recours pour les femmes : 49%) </w:t>
            </w:r>
          </w:p>
        </w:tc>
        <w:tc>
          <w:tcPr>
            <w:tcW w:w="0" w:type="dxa"/>
            <w:shd w:val="clear" w:color="auto" w:fill="D6E3BC" w:themeFill="accent3" w:themeFillTint="66"/>
          </w:tcPr>
          <w:p w14:paraId="386B0B76"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1 (variables dém</w:t>
            </w:r>
            <w:r w:rsidRPr="00181084">
              <w:rPr>
                <w:rFonts w:asciiTheme="minorHAnsi" w:eastAsia="Calibri" w:hAnsiTheme="minorHAnsi" w:cstheme="minorHAnsi"/>
                <w:sz w:val="18"/>
                <w:szCs w:val="18"/>
              </w:rPr>
              <w:t>o</w:t>
            </w:r>
            <w:r w:rsidRPr="00181084">
              <w:rPr>
                <w:rFonts w:asciiTheme="minorHAnsi" w:eastAsia="Calibri" w:hAnsiTheme="minorHAnsi" w:cstheme="minorHAnsi"/>
                <w:sz w:val="18"/>
                <w:szCs w:val="18"/>
              </w:rPr>
              <w:t xml:space="preserve">graphiques + besoins de soins) </w:t>
            </w:r>
          </w:p>
        </w:tc>
        <w:tc>
          <w:tcPr>
            <w:tcW w:w="0" w:type="dxa"/>
            <w:shd w:val="clear" w:color="auto" w:fill="D6E3BC" w:themeFill="accent3" w:themeFillTint="66"/>
          </w:tcPr>
          <w:p w14:paraId="7DA37DB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Modèle 2 (Modèle 1 + variables sociales) </w:t>
            </w:r>
          </w:p>
        </w:tc>
      </w:tr>
      <w:tr w:rsidR="007A1E1D" w:rsidRPr="00181084" w14:paraId="5D9B1137"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34E0B79B"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Fauteuil roulant (réf : pas de limitations motrices) </w:t>
            </w:r>
          </w:p>
        </w:tc>
        <w:tc>
          <w:tcPr>
            <w:tcW w:w="2551" w:type="dxa"/>
            <w:shd w:val="clear" w:color="auto" w:fill="C4BC96" w:themeFill="background2" w:themeFillShade="BF"/>
          </w:tcPr>
          <w:p w14:paraId="2BF07F0A"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-0.190***</w:t>
            </w:r>
          </w:p>
        </w:tc>
        <w:tc>
          <w:tcPr>
            <w:tcW w:w="2410" w:type="dxa"/>
            <w:shd w:val="clear" w:color="auto" w:fill="C4BC96" w:themeFill="background2" w:themeFillShade="BF"/>
          </w:tcPr>
          <w:p w14:paraId="44467248"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-0.174***</w:t>
            </w:r>
          </w:p>
        </w:tc>
      </w:tr>
      <w:tr w:rsidR="007A1E1D" w:rsidRPr="00181084" w14:paraId="32F081C0"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20F05BC0" w14:textId="72D7E861"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motrices mais sans fauteuil roulant (réf : pas de lim. </w:t>
            </w:r>
            <w:r w:rsidR="00CF3515">
              <w:rPr>
                <w:rFonts w:asciiTheme="minorHAnsi" w:eastAsia="Calibri" w:hAnsiTheme="minorHAnsi" w:cstheme="minorHAnsi"/>
                <w:sz w:val="18"/>
                <w:szCs w:val="18"/>
              </w:rPr>
              <w:t>m</w:t>
            </w:r>
            <w:r w:rsidRPr="00181084">
              <w:rPr>
                <w:rFonts w:asciiTheme="minorHAnsi" w:eastAsia="Calibri" w:hAnsiTheme="minorHAnsi" w:cstheme="minorHAnsi"/>
                <w:sz w:val="18"/>
                <w:szCs w:val="18"/>
              </w:rPr>
              <w:t xml:space="preserve">otrices) </w:t>
            </w:r>
          </w:p>
        </w:tc>
        <w:tc>
          <w:tcPr>
            <w:tcW w:w="2551" w:type="dxa"/>
            <w:shd w:val="clear" w:color="auto" w:fill="C4BC96" w:themeFill="background2" w:themeFillShade="BF"/>
          </w:tcPr>
          <w:p w14:paraId="3FFC966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-0.124***</w:t>
            </w:r>
          </w:p>
        </w:tc>
        <w:tc>
          <w:tcPr>
            <w:tcW w:w="2410" w:type="dxa"/>
            <w:shd w:val="clear" w:color="auto" w:fill="C4BC96" w:themeFill="background2" w:themeFillShade="BF"/>
          </w:tcPr>
          <w:p w14:paraId="5822324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-0.0726**</w:t>
            </w:r>
          </w:p>
        </w:tc>
      </w:tr>
      <w:tr w:rsidR="007A1E1D" w:rsidRPr="00181084" w14:paraId="769F532D"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4FAE6B0E" w14:textId="4EFBAFDA"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cognitives (réf : pas de limitations cognitives) </w:t>
            </w:r>
          </w:p>
        </w:tc>
        <w:tc>
          <w:tcPr>
            <w:tcW w:w="2551" w:type="dxa"/>
            <w:shd w:val="clear" w:color="auto" w:fill="C4BC96" w:themeFill="background2" w:themeFillShade="BF"/>
          </w:tcPr>
          <w:p w14:paraId="714DDCC9"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-0.0907***</w:t>
            </w:r>
          </w:p>
        </w:tc>
        <w:tc>
          <w:tcPr>
            <w:tcW w:w="2410" w:type="dxa"/>
          </w:tcPr>
          <w:p w14:paraId="531C100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-0.0386</w:t>
            </w:r>
          </w:p>
        </w:tc>
      </w:tr>
      <w:tr w:rsidR="007A1E1D" w:rsidRPr="00181084" w14:paraId="7D0C99EF"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5946CA80"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visuelles (réf : pas de limit</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tions visuelles) </w:t>
            </w:r>
          </w:p>
        </w:tc>
        <w:tc>
          <w:tcPr>
            <w:tcW w:w="2551" w:type="dxa"/>
          </w:tcPr>
          <w:p w14:paraId="0BD372B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-0.0791</w:t>
            </w:r>
          </w:p>
        </w:tc>
        <w:tc>
          <w:tcPr>
            <w:tcW w:w="2410" w:type="dxa"/>
          </w:tcPr>
          <w:p w14:paraId="49E54EC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-0.0726</w:t>
            </w:r>
          </w:p>
        </w:tc>
      </w:tr>
      <w:tr w:rsidR="007A1E1D" w:rsidRPr="00181084" w14:paraId="06262C0B"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403" w:type="dxa"/>
          </w:tcPr>
          <w:p w14:paraId="677A5E02"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auditives (réf : pas de limit</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tions auditives) </w:t>
            </w:r>
          </w:p>
        </w:tc>
        <w:tc>
          <w:tcPr>
            <w:tcW w:w="2551" w:type="dxa"/>
          </w:tcPr>
          <w:p w14:paraId="5C755A0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0.0379</w:t>
            </w:r>
          </w:p>
        </w:tc>
        <w:tc>
          <w:tcPr>
            <w:tcW w:w="2410" w:type="dxa"/>
          </w:tcPr>
          <w:p w14:paraId="1D0C9112"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0.0521</w:t>
            </w:r>
          </w:p>
        </w:tc>
      </w:tr>
    </w:tbl>
    <w:p w14:paraId="6B425231" w14:textId="77777777" w:rsidR="005501CE" w:rsidRDefault="005501CE" w:rsidP="00181084">
      <w:pPr>
        <w:pStyle w:val="Corpsdetexte"/>
        <w:jc w:val="left"/>
        <w:rPr>
          <w:rFonts w:asciiTheme="minorHAnsi" w:hAnsiTheme="minorHAnsi" w:cstheme="minorHAnsi"/>
          <w:b/>
          <w:sz w:val="18"/>
          <w:szCs w:val="18"/>
        </w:rPr>
      </w:pPr>
    </w:p>
    <w:p w14:paraId="017466EF" w14:textId="77777777" w:rsidR="004572E1" w:rsidRPr="00181084" w:rsidRDefault="007A1E1D" w:rsidP="00181084">
      <w:pPr>
        <w:pStyle w:val="Corpsdetexte"/>
        <w:jc w:val="left"/>
        <w:rPr>
          <w:rFonts w:asciiTheme="minorHAnsi" w:hAnsiTheme="minorHAnsi" w:cstheme="minorHAnsi"/>
          <w:b/>
          <w:sz w:val="18"/>
          <w:szCs w:val="18"/>
        </w:rPr>
      </w:pPr>
      <w:r w:rsidRPr="00181084">
        <w:rPr>
          <w:rFonts w:asciiTheme="minorHAnsi" w:hAnsiTheme="minorHAnsi" w:cstheme="minorHAnsi"/>
          <w:b/>
          <w:sz w:val="18"/>
          <w:szCs w:val="18"/>
        </w:rPr>
        <w:t xml:space="preserve">Tableau 2 : Recours aux soins préventifs des personnes déclarant </w:t>
      </w:r>
      <w:r w:rsidR="002E78E3" w:rsidRPr="00181084">
        <w:rPr>
          <w:rFonts w:asciiTheme="minorHAnsi" w:hAnsiTheme="minorHAnsi" w:cstheme="minorHAnsi"/>
          <w:b/>
          <w:sz w:val="18"/>
          <w:szCs w:val="18"/>
        </w:rPr>
        <w:t xml:space="preserve">des limitations fonctionnelles </w:t>
      </w:r>
    </w:p>
    <w:p w14:paraId="699D967E" w14:textId="77777777" w:rsidR="002E78E3" w:rsidRPr="00181084" w:rsidRDefault="002E78E3" w:rsidP="00181084">
      <w:pPr>
        <w:pStyle w:val="Corpsdetexte"/>
        <w:jc w:val="left"/>
        <w:rPr>
          <w:rFonts w:asciiTheme="minorHAnsi" w:hAnsiTheme="minorHAnsi" w:cstheme="minorHAnsi"/>
          <w:b/>
          <w:sz w:val="18"/>
          <w:szCs w:val="18"/>
        </w:rPr>
      </w:pPr>
    </w:p>
    <w:tbl>
      <w:tblPr>
        <w:tblStyle w:val="Grilledutableau"/>
        <w:tblW w:w="0" w:type="auto"/>
        <w:tblInd w:w="227" w:type="dxa"/>
        <w:tblLook w:val="04A0" w:firstRow="1" w:lastRow="0" w:firstColumn="1" w:lastColumn="0" w:noHBand="0" w:noVBand="1"/>
      </w:tblPr>
      <w:tblGrid>
        <w:gridCol w:w="3261"/>
        <w:gridCol w:w="2653"/>
        <w:gridCol w:w="2591"/>
      </w:tblGrid>
      <w:tr w:rsidR="007A1E1D" w:rsidRPr="00181084" w14:paraId="27FD8413" w14:textId="77777777" w:rsidTr="0057371A">
        <w:trPr>
          <w:trHeight w:hRule="exact" w:val="548"/>
        </w:trPr>
        <w:tc>
          <w:tcPr>
            <w:cnfStyle w:val="001000000000" w:firstRow="0" w:lastRow="0" w:firstColumn="1" w:lastColumn="0" w:oddVBand="0" w:evenVBand="0" w:oddHBand="0" w:evenHBand="0" w:firstRowFirstColumn="0" w:firstRowLastColumn="0" w:lastRowFirstColumn="0" w:lastRowLastColumn="0"/>
            <w:tcW w:w="0" w:type="dxa"/>
            <w:shd w:val="clear" w:color="auto" w:fill="D6E3BC" w:themeFill="accent3" w:themeFillTint="66"/>
          </w:tcPr>
          <w:p w14:paraId="5DA35E67" w14:textId="77777777" w:rsidR="007A1E1D" w:rsidRPr="00181084" w:rsidRDefault="007A1E1D" w:rsidP="00181084">
            <w:pPr>
              <w:pStyle w:val="Corpsdetexte"/>
              <w:jc w:val="left"/>
              <w:rPr>
                <w:rFonts w:asciiTheme="minorHAnsi" w:eastAsia="Calibri" w:hAnsiTheme="minorHAnsi" w:cstheme="minorHAnsi"/>
                <w:b/>
                <w:sz w:val="18"/>
                <w:szCs w:val="18"/>
              </w:rPr>
            </w:pPr>
            <w:r w:rsidRPr="00181084">
              <w:rPr>
                <w:rFonts w:asciiTheme="minorHAnsi" w:eastAsia="Calibri" w:hAnsiTheme="minorHAnsi" w:cstheme="minorHAnsi"/>
                <w:b/>
                <w:sz w:val="18"/>
                <w:szCs w:val="18"/>
              </w:rPr>
              <w:lastRenderedPageBreak/>
              <w:t xml:space="preserve">Frottis cervico-utérin  (probabilité de recours population générale 80%) </w:t>
            </w:r>
          </w:p>
          <w:p w14:paraId="5F6979AC" w14:textId="77777777" w:rsidR="007A1E1D" w:rsidRPr="00181084" w:rsidRDefault="007A1E1D" w:rsidP="00181084">
            <w:pPr>
              <w:pStyle w:val="Corpsdetexte"/>
              <w:jc w:val="left"/>
              <w:rPr>
                <w:rFonts w:asciiTheme="minorHAnsi" w:eastAsia="Calibri" w:hAnsiTheme="minorHAnsi" w:cstheme="minorHAnsi"/>
                <w:sz w:val="18"/>
                <w:szCs w:val="18"/>
              </w:rPr>
            </w:pPr>
          </w:p>
        </w:tc>
        <w:tc>
          <w:tcPr>
            <w:tcW w:w="0" w:type="dxa"/>
            <w:shd w:val="clear" w:color="auto" w:fill="D6E3BC" w:themeFill="accent3" w:themeFillTint="66"/>
          </w:tcPr>
          <w:p w14:paraId="6C6D96A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1 (variables dém</w:t>
            </w:r>
            <w:r w:rsidRPr="00181084">
              <w:rPr>
                <w:rFonts w:asciiTheme="minorHAnsi" w:eastAsia="Calibri" w:hAnsiTheme="minorHAnsi" w:cstheme="minorHAnsi"/>
                <w:sz w:val="18"/>
                <w:szCs w:val="18"/>
              </w:rPr>
              <w:t>o</w:t>
            </w:r>
            <w:r w:rsidRPr="00181084">
              <w:rPr>
                <w:rFonts w:asciiTheme="minorHAnsi" w:eastAsia="Calibri" w:hAnsiTheme="minorHAnsi" w:cstheme="minorHAnsi"/>
                <w:sz w:val="18"/>
                <w:szCs w:val="18"/>
              </w:rPr>
              <w:t xml:space="preserve">graphiques + besoins de soins) </w:t>
            </w:r>
          </w:p>
        </w:tc>
        <w:tc>
          <w:tcPr>
            <w:tcW w:w="0" w:type="dxa"/>
            <w:shd w:val="clear" w:color="auto" w:fill="D6E3BC" w:themeFill="accent3" w:themeFillTint="66"/>
          </w:tcPr>
          <w:p w14:paraId="433A207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2 (Modèle 1 + v</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riables sociales) </w:t>
            </w:r>
          </w:p>
        </w:tc>
      </w:tr>
      <w:tr w:rsidR="007A1E1D" w:rsidRPr="00181084" w14:paraId="2B6E9022"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43C0A1DF" w14:textId="77777777" w:rsidR="007A1E1D" w:rsidRPr="00181084" w:rsidRDefault="007A1E1D" w:rsidP="00181084">
            <w:pPr>
              <w:pStyle w:val="Corpsdetexte"/>
              <w:ind w:left="-142"/>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Fauteuil roulant (réf : pas de limitations motrices) </w:t>
            </w:r>
          </w:p>
        </w:tc>
        <w:tc>
          <w:tcPr>
            <w:tcW w:w="2653" w:type="dxa"/>
            <w:shd w:val="clear" w:color="auto" w:fill="C4BC96" w:themeFill="background2" w:themeFillShade="BF"/>
          </w:tcPr>
          <w:p w14:paraId="500EC11A"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-0.145**</w:t>
            </w:r>
          </w:p>
        </w:tc>
        <w:tc>
          <w:tcPr>
            <w:tcW w:w="2591" w:type="dxa"/>
            <w:shd w:val="clear" w:color="auto" w:fill="C4BC96" w:themeFill="background2" w:themeFillShade="BF"/>
          </w:tcPr>
          <w:p w14:paraId="6112DB29"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-0.114**</w:t>
            </w:r>
          </w:p>
        </w:tc>
      </w:tr>
      <w:tr w:rsidR="007A1E1D" w:rsidRPr="00181084" w14:paraId="1A3794FE" w14:textId="77777777" w:rsidTr="0057371A">
        <w:trPr>
          <w:trHeight w:hRule="exact" w:val="762"/>
        </w:trPr>
        <w:tc>
          <w:tcPr>
            <w:cnfStyle w:val="001000000000" w:firstRow="0" w:lastRow="0" w:firstColumn="1" w:lastColumn="0" w:oddVBand="0" w:evenVBand="0" w:oddHBand="0" w:evenHBand="0" w:firstRowFirstColumn="0" w:firstRowLastColumn="0" w:lastRowFirstColumn="0" w:lastRowLastColumn="0"/>
            <w:tcW w:w="0" w:type="dxa"/>
          </w:tcPr>
          <w:p w14:paraId="4B9C32D4" w14:textId="5FFAC1A1"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motrices mais sans fa</w:t>
            </w:r>
            <w:r w:rsidRPr="00181084">
              <w:rPr>
                <w:rFonts w:asciiTheme="minorHAnsi" w:eastAsia="Calibri" w:hAnsiTheme="minorHAnsi" w:cstheme="minorHAnsi"/>
                <w:sz w:val="18"/>
                <w:szCs w:val="18"/>
              </w:rPr>
              <w:t>u</w:t>
            </w:r>
            <w:r w:rsidRPr="00181084">
              <w:rPr>
                <w:rFonts w:asciiTheme="minorHAnsi" w:eastAsia="Calibri" w:hAnsiTheme="minorHAnsi" w:cstheme="minorHAnsi"/>
                <w:sz w:val="18"/>
                <w:szCs w:val="18"/>
              </w:rPr>
              <w:t xml:space="preserve">teuil roulant (réf : pas de lim. </w:t>
            </w:r>
            <w:r w:rsidR="00CF3515">
              <w:rPr>
                <w:rFonts w:asciiTheme="minorHAnsi" w:eastAsia="Calibri" w:hAnsiTheme="minorHAnsi" w:cstheme="minorHAnsi"/>
                <w:sz w:val="18"/>
                <w:szCs w:val="18"/>
              </w:rPr>
              <w:t>m</w:t>
            </w:r>
            <w:r w:rsidRPr="00181084">
              <w:rPr>
                <w:rFonts w:asciiTheme="minorHAnsi" w:eastAsia="Calibri" w:hAnsiTheme="minorHAnsi" w:cstheme="minorHAnsi"/>
                <w:sz w:val="18"/>
                <w:szCs w:val="18"/>
              </w:rPr>
              <w:t xml:space="preserve">otrices) </w:t>
            </w:r>
          </w:p>
        </w:tc>
        <w:tc>
          <w:tcPr>
            <w:tcW w:w="0" w:type="dxa"/>
            <w:shd w:val="clear" w:color="auto" w:fill="C4BC96" w:themeFill="background2" w:themeFillShade="BF"/>
          </w:tcPr>
          <w:p w14:paraId="4256DDF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-0.0868***</w:t>
            </w:r>
          </w:p>
        </w:tc>
        <w:tc>
          <w:tcPr>
            <w:tcW w:w="0" w:type="dxa"/>
            <w:shd w:val="clear" w:color="auto" w:fill="C4BC96" w:themeFill="background2" w:themeFillShade="BF"/>
          </w:tcPr>
          <w:p w14:paraId="198EE6C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-0.0440**</w:t>
            </w:r>
          </w:p>
        </w:tc>
      </w:tr>
      <w:tr w:rsidR="007A1E1D" w:rsidRPr="00181084" w14:paraId="1C214131"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615B990E" w14:textId="28962CF1"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cognitives (réf : pas de limitations cognitives) </w:t>
            </w:r>
          </w:p>
        </w:tc>
        <w:tc>
          <w:tcPr>
            <w:tcW w:w="2653" w:type="dxa"/>
            <w:shd w:val="clear" w:color="auto" w:fill="C4BC96" w:themeFill="background2" w:themeFillShade="BF"/>
          </w:tcPr>
          <w:p w14:paraId="120BA48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-0.0886***</w:t>
            </w:r>
          </w:p>
        </w:tc>
        <w:tc>
          <w:tcPr>
            <w:tcW w:w="2591" w:type="dxa"/>
            <w:shd w:val="clear" w:color="auto" w:fill="C4BC96" w:themeFill="background2" w:themeFillShade="BF"/>
          </w:tcPr>
          <w:p w14:paraId="63B46F5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-0.0443**</w:t>
            </w:r>
          </w:p>
        </w:tc>
      </w:tr>
      <w:tr w:rsidR="007A1E1D" w:rsidRPr="00181084" w14:paraId="707B9964"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42CEB8B0"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visuelles (réf : pas de limitations visuelles) </w:t>
            </w:r>
          </w:p>
        </w:tc>
        <w:tc>
          <w:tcPr>
            <w:tcW w:w="2653" w:type="dxa"/>
            <w:shd w:val="clear" w:color="auto" w:fill="C4BC96" w:themeFill="background2" w:themeFillShade="BF"/>
          </w:tcPr>
          <w:p w14:paraId="0F90012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-0.115**</w:t>
            </w:r>
          </w:p>
        </w:tc>
        <w:tc>
          <w:tcPr>
            <w:tcW w:w="2591" w:type="dxa"/>
            <w:shd w:val="clear" w:color="auto" w:fill="C4BC96" w:themeFill="background2" w:themeFillShade="BF"/>
          </w:tcPr>
          <w:p w14:paraId="2288ADA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-0.105**</w:t>
            </w:r>
          </w:p>
        </w:tc>
      </w:tr>
      <w:tr w:rsidR="007A1E1D" w:rsidRPr="00181084" w14:paraId="3047A62C"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50B87F79"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auditives (réf : pas de limitations auditives) </w:t>
            </w:r>
          </w:p>
        </w:tc>
        <w:tc>
          <w:tcPr>
            <w:tcW w:w="2653" w:type="dxa"/>
          </w:tcPr>
          <w:p w14:paraId="50FF1F6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-0.0322</w:t>
            </w:r>
          </w:p>
        </w:tc>
        <w:tc>
          <w:tcPr>
            <w:tcW w:w="2591" w:type="dxa"/>
          </w:tcPr>
          <w:p w14:paraId="666448B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-0.019</w:t>
            </w:r>
          </w:p>
        </w:tc>
      </w:tr>
      <w:tr w:rsidR="007A1E1D" w:rsidRPr="00181084" w14:paraId="4664CB8E" w14:textId="77777777" w:rsidTr="0057371A">
        <w:trPr>
          <w:trHeight w:hRule="exact" w:val="594"/>
        </w:trPr>
        <w:tc>
          <w:tcPr>
            <w:cnfStyle w:val="001000000000" w:firstRow="0" w:lastRow="0" w:firstColumn="1" w:lastColumn="0" w:oddVBand="0" w:evenVBand="0" w:oddHBand="0" w:evenHBand="0" w:firstRowFirstColumn="0" w:firstRowLastColumn="0" w:lastRowFirstColumn="0" w:lastRowLastColumn="0"/>
            <w:tcW w:w="0" w:type="dxa"/>
            <w:shd w:val="clear" w:color="auto" w:fill="D6E3BC" w:themeFill="accent3" w:themeFillTint="66"/>
          </w:tcPr>
          <w:p w14:paraId="47BEB735" w14:textId="77777777" w:rsidR="007A1E1D" w:rsidRPr="00181084" w:rsidRDefault="007A1E1D" w:rsidP="00181084">
            <w:pPr>
              <w:pStyle w:val="Corpsdetexte"/>
              <w:jc w:val="left"/>
              <w:rPr>
                <w:rFonts w:asciiTheme="minorHAnsi" w:eastAsia="Calibri" w:hAnsiTheme="minorHAnsi" w:cstheme="minorHAnsi"/>
                <w:b/>
                <w:sz w:val="18"/>
                <w:szCs w:val="18"/>
              </w:rPr>
            </w:pPr>
            <w:r w:rsidRPr="00181084">
              <w:rPr>
                <w:rFonts w:asciiTheme="minorHAnsi" w:eastAsia="Calibri" w:hAnsiTheme="minorHAnsi" w:cstheme="minorHAnsi"/>
                <w:b/>
                <w:sz w:val="18"/>
                <w:szCs w:val="18"/>
              </w:rPr>
              <w:t xml:space="preserve">Mammographie  (probabilité de recours population générale 80%) </w:t>
            </w:r>
          </w:p>
        </w:tc>
        <w:tc>
          <w:tcPr>
            <w:tcW w:w="0" w:type="dxa"/>
            <w:shd w:val="clear" w:color="auto" w:fill="D6E3BC" w:themeFill="accent3" w:themeFillTint="66"/>
          </w:tcPr>
          <w:p w14:paraId="7A874232"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1 (variables dém</w:t>
            </w:r>
            <w:r w:rsidRPr="00181084">
              <w:rPr>
                <w:rFonts w:asciiTheme="minorHAnsi" w:eastAsia="Calibri" w:hAnsiTheme="minorHAnsi" w:cstheme="minorHAnsi"/>
                <w:sz w:val="18"/>
                <w:szCs w:val="18"/>
              </w:rPr>
              <w:t>o</w:t>
            </w:r>
            <w:r w:rsidRPr="00181084">
              <w:rPr>
                <w:rFonts w:asciiTheme="minorHAnsi" w:eastAsia="Calibri" w:hAnsiTheme="minorHAnsi" w:cstheme="minorHAnsi"/>
                <w:sz w:val="18"/>
                <w:szCs w:val="18"/>
              </w:rPr>
              <w:t xml:space="preserve">graphiques + besoins de soins) </w:t>
            </w:r>
          </w:p>
        </w:tc>
        <w:tc>
          <w:tcPr>
            <w:tcW w:w="0" w:type="dxa"/>
            <w:shd w:val="clear" w:color="auto" w:fill="D6E3BC" w:themeFill="accent3" w:themeFillTint="66"/>
          </w:tcPr>
          <w:p w14:paraId="32035F1E"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2 (Modèle 1 + v</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riables sociales) </w:t>
            </w:r>
          </w:p>
        </w:tc>
      </w:tr>
      <w:tr w:rsidR="007A1E1D" w:rsidRPr="00181084" w14:paraId="237F074C"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23E1CF45"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Fauteuil roulant (réf : pas de limit</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tions motrices) </w:t>
            </w:r>
          </w:p>
        </w:tc>
        <w:tc>
          <w:tcPr>
            <w:tcW w:w="2653" w:type="dxa"/>
            <w:shd w:val="clear" w:color="auto" w:fill="C4BC96" w:themeFill="background2" w:themeFillShade="BF"/>
          </w:tcPr>
          <w:p w14:paraId="28D944E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-0.253***</w:t>
            </w:r>
          </w:p>
        </w:tc>
        <w:tc>
          <w:tcPr>
            <w:tcW w:w="2591" w:type="dxa"/>
            <w:shd w:val="clear" w:color="auto" w:fill="C4BC96" w:themeFill="background2" w:themeFillShade="BF"/>
          </w:tcPr>
          <w:p w14:paraId="3234827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-0.241***</w:t>
            </w:r>
          </w:p>
        </w:tc>
      </w:tr>
      <w:tr w:rsidR="007A1E1D" w:rsidRPr="00181084" w14:paraId="063389F6" w14:textId="77777777" w:rsidTr="0057371A">
        <w:trPr>
          <w:trHeight w:hRule="exact" w:val="778"/>
        </w:trPr>
        <w:tc>
          <w:tcPr>
            <w:cnfStyle w:val="001000000000" w:firstRow="0" w:lastRow="0" w:firstColumn="1" w:lastColumn="0" w:oddVBand="0" w:evenVBand="0" w:oddHBand="0" w:evenHBand="0" w:firstRowFirstColumn="0" w:firstRowLastColumn="0" w:lastRowFirstColumn="0" w:lastRowLastColumn="0"/>
            <w:tcW w:w="0" w:type="dxa"/>
          </w:tcPr>
          <w:p w14:paraId="5B47BB2F" w14:textId="31E32903"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motrices mais sans fa</w:t>
            </w:r>
            <w:r w:rsidRPr="00181084">
              <w:rPr>
                <w:rFonts w:asciiTheme="minorHAnsi" w:eastAsia="Calibri" w:hAnsiTheme="minorHAnsi" w:cstheme="minorHAnsi"/>
                <w:sz w:val="18"/>
                <w:szCs w:val="18"/>
              </w:rPr>
              <w:t>u</w:t>
            </w:r>
            <w:r w:rsidRPr="00181084">
              <w:rPr>
                <w:rFonts w:asciiTheme="minorHAnsi" w:eastAsia="Calibri" w:hAnsiTheme="minorHAnsi" w:cstheme="minorHAnsi"/>
                <w:sz w:val="18"/>
                <w:szCs w:val="18"/>
              </w:rPr>
              <w:t xml:space="preserve">teuil roulant (réf : pas de lim. </w:t>
            </w:r>
            <w:r w:rsidR="00CF3515">
              <w:rPr>
                <w:rFonts w:asciiTheme="minorHAnsi" w:eastAsia="Calibri" w:hAnsiTheme="minorHAnsi" w:cstheme="minorHAnsi"/>
                <w:sz w:val="18"/>
                <w:szCs w:val="18"/>
              </w:rPr>
              <w:t>m</w:t>
            </w:r>
            <w:r w:rsidRPr="00181084">
              <w:rPr>
                <w:rFonts w:asciiTheme="minorHAnsi" w:eastAsia="Calibri" w:hAnsiTheme="minorHAnsi" w:cstheme="minorHAnsi"/>
                <w:sz w:val="18"/>
                <w:szCs w:val="18"/>
              </w:rPr>
              <w:t xml:space="preserve">otrices) </w:t>
            </w:r>
          </w:p>
        </w:tc>
        <w:tc>
          <w:tcPr>
            <w:tcW w:w="0" w:type="dxa"/>
            <w:shd w:val="clear" w:color="auto" w:fill="C4BC96" w:themeFill="background2" w:themeFillShade="BF"/>
          </w:tcPr>
          <w:p w14:paraId="69E4EC56"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-0.0470**</w:t>
            </w:r>
          </w:p>
        </w:tc>
        <w:tc>
          <w:tcPr>
            <w:tcW w:w="0" w:type="dxa"/>
            <w:shd w:val="clear" w:color="auto" w:fill="auto"/>
          </w:tcPr>
          <w:p w14:paraId="0E4B9F86"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-0.0253</w:t>
            </w:r>
          </w:p>
        </w:tc>
      </w:tr>
      <w:tr w:rsidR="007A1E1D" w:rsidRPr="00181084" w14:paraId="3C58A387"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02405147" w14:textId="2446DEDD"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cognitives (réf : pas de limitations cognitives) </w:t>
            </w:r>
          </w:p>
        </w:tc>
        <w:tc>
          <w:tcPr>
            <w:tcW w:w="2653" w:type="dxa"/>
            <w:shd w:val="clear" w:color="auto" w:fill="C4BC96" w:themeFill="background2" w:themeFillShade="BF"/>
          </w:tcPr>
          <w:p w14:paraId="787AB907"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-0.0719**</w:t>
            </w:r>
          </w:p>
        </w:tc>
        <w:tc>
          <w:tcPr>
            <w:tcW w:w="2591" w:type="dxa"/>
            <w:shd w:val="clear" w:color="auto" w:fill="C4BC96" w:themeFill="background2" w:themeFillShade="BF"/>
          </w:tcPr>
          <w:p w14:paraId="1719302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-0.0541*</w:t>
            </w:r>
          </w:p>
        </w:tc>
      </w:tr>
      <w:tr w:rsidR="007A1E1D" w:rsidRPr="00181084" w14:paraId="7E7BC976"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2F8652B4"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visuelles (réf : pas de limitations visuelles) </w:t>
            </w:r>
          </w:p>
        </w:tc>
        <w:tc>
          <w:tcPr>
            <w:tcW w:w="2653" w:type="dxa"/>
            <w:shd w:val="clear" w:color="auto" w:fill="auto"/>
          </w:tcPr>
          <w:p w14:paraId="4F1F8301"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0.00271</w:t>
            </w:r>
          </w:p>
        </w:tc>
        <w:tc>
          <w:tcPr>
            <w:tcW w:w="2591" w:type="dxa"/>
            <w:shd w:val="clear" w:color="auto" w:fill="auto"/>
          </w:tcPr>
          <w:p w14:paraId="06F19F6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0.0113</w:t>
            </w:r>
          </w:p>
        </w:tc>
      </w:tr>
      <w:tr w:rsidR="007A1E1D" w:rsidRPr="00181084" w14:paraId="5F815099"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6DECBEC8"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auditives (réf : pas de limitations auditives) </w:t>
            </w:r>
          </w:p>
        </w:tc>
        <w:tc>
          <w:tcPr>
            <w:tcW w:w="2653" w:type="dxa"/>
            <w:shd w:val="clear" w:color="auto" w:fill="auto"/>
          </w:tcPr>
          <w:p w14:paraId="2E5FF5DE"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-0.0185</w:t>
            </w:r>
          </w:p>
        </w:tc>
        <w:tc>
          <w:tcPr>
            <w:tcW w:w="2591" w:type="dxa"/>
            <w:shd w:val="clear" w:color="auto" w:fill="auto"/>
          </w:tcPr>
          <w:p w14:paraId="32681F3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-0.00809</w:t>
            </w:r>
          </w:p>
        </w:tc>
      </w:tr>
      <w:tr w:rsidR="007A1E1D" w:rsidRPr="00181084" w14:paraId="013DDC2E" w14:textId="77777777" w:rsidTr="0057371A">
        <w:trPr>
          <w:trHeight w:hRule="exact" w:val="581"/>
        </w:trPr>
        <w:tc>
          <w:tcPr>
            <w:cnfStyle w:val="001000000000" w:firstRow="0" w:lastRow="0" w:firstColumn="1" w:lastColumn="0" w:oddVBand="0" w:evenVBand="0" w:oddHBand="0" w:evenHBand="0" w:firstRowFirstColumn="0" w:firstRowLastColumn="0" w:lastRowFirstColumn="0" w:lastRowLastColumn="0"/>
            <w:tcW w:w="0" w:type="dxa"/>
            <w:shd w:val="clear" w:color="auto" w:fill="D6E3BC" w:themeFill="accent3" w:themeFillTint="66"/>
          </w:tcPr>
          <w:p w14:paraId="7EFDE774"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b/>
                <w:sz w:val="18"/>
                <w:szCs w:val="18"/>
              </w:rPr>
              <w:t>Dépistage du cancer du côlon (pr</w:t>
            </w:r>
            <w:r w:rsidRPr="00181084">
              <w:rPr>
                <w:rFonts w:asciiTheme="minorHAnsi" w:eastAsia="Calibri" w:hAnsiTheme="minorHAnsi" w:cstheme="minorHAnsi"/>
                <w:b/>
                <w:sz w:val="18"/>
                <w:szCs w:val="18"/>
              </w:rPr>
              <w:t>o</w:t>
            </w:r>
            <w:r w:rsidRPr="00181084">
              <w:rPr>
                <w:rFonts w:asciiTheme="minorHAnsi" w:eastAsia="Calibri" w:hAnsiTheme="minorHAnsi" w:cstheme="minorHAnsi"/>
                <w:b/>
                <w:sz w:val="18"/>
                <w:szCs w:val="18"/>
              </w:rPr>
              <w:t>babilité de recours pop 40%)</w:t>
            </w:r>
          </w:p>
        </w:tc>
        <w:tc>
          <w:tcPr>
            <w:tcW w:w="0" w:type="dxa"/>
            <w:shd w:val="clear" w:color="auto" w:fill="D6E3BC" w:themeFill="accent3" w:themeFillTint="66"/>
          </w:tcPr>
          <w:p w14:paraId="6DA5403A"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1 (variables dém</w:t>
            </w:r>
            <w:r w:rsidRPr="00181084">
              <w:rPr>
                <w:rFonts w:asciiTheme="minorHAnsi" w:eastAsia="Calibri" w:hAnsiTheme="minorHAnsi" w:cstheme="minorHAnsi"/>
                <w:sz w:val="18"/>
                <w:szCs w:val="18"/>
              </w:rPr>
              <w:t>o</w:t>
            </w:r>
            <w:r w:rsidRPr="00181084">
              <w:rPr>
                <w:rFonts w:asciiTheme="minorHAnsi" w:eastAsia="Calibri" w:hAnsiTheme="minorHAnsi" w:cstheme="minorHAnsi"/>
                <w:sz w:val="18"/>
                <w:szCs w:val="18"/>
              </w:rPr>
              <w:t xml:space="preserve">graphiques + besoins de soins) </w:t>
            </w:r>
          </w:p>
        </w:tc>
        <w:tc>
          <w:tcPr>
            <w:tcW w:w="0" w:type="dxa"/>
            <w:shd w:val="clear" w:color="auto" w:fill="D6E3BC" w:themeFill="accent3" w:themeFillTint="66"/>
          </w:tcPr>
          <w:p w14:paraId="779DF14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2 (Modèle 1 + v</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riables sociales) </w:t>
            </w:r>
          </w:p>
        </w:tc>
      </w:tr>
      <w:tr w:rsidR="007A1E1D" w:rsidRPr="00181084" w14:paraId="66FCAE98"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3D348AC8"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Fauteuil roulant (réf : pas de limit</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tions motrices) </w:t>
            </w:r>
          </w:p>
        </w:tc>
        <w:tc>
          <w:tcPr>
            <w:tcW w:w="2653" w:type="dxa"/>
            <w:shd w:val="clear" w:color="auto" w:fill="C4BC96" w:themeFill="background2" w:themeFillShade="BF"/>
          </w:tcPr>
          <w:p w14:paraId="23BCEBB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-0.267***</w:t>
            </w:r>
          </w:p>
        </w:tc>
        <w:tc>
          <w:tcPr>
            <w:tcW w:w="2591" w:type="dxa"/>
            <w:shd w:val="clear" w:color="auto" w:fill="C4BC96" w:themeFill="background2" w:themeFillShade="BF"/>
          </w:tcPr>
          <w:p w14:paraId="21AC3868"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-0.250***</w:t>
            </w:r>
          </w:p>
        </w:tc>
      </w:tr>
      <w:tr w:rsidR="007A1E1D" w:rsidRPr="00181084" w14:paraId="6E8B4369" w14:textId="77777777" w:rsidTr="0057371A">
        <w:trPr>
          <w:trHeight w:hRule="exact" w:val="785"/>
        </w:trPr>
        <w:tc>
          <w:tcPr>
            <w:cnfStyle w:val="001000000000" w:firstRow="0" w:lastRow="0" w:firstColumn="1" w:lastColumn="0" w:oddVBand="0" w:evenVBand="0" w:oddHBand="0" w:evenHBand="0" w:firstRowFirstColumn="0" w:firstRowLastColumn="0" w:lastRowFirstColumn="0" w:lastRowLastColumn="0"/>
            <w:tcW w:w="0" w:type="dxa"/>
          </w:tcPr>
          <w:p w14:paraId="06C2DBA2" w14:textId="72A924AA"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motrices mais sans fa</w:t>
            </w:r>
            <w:r w:rsidRPr="00181084">
              <w:rPr>
                <w:rFonts w:asciiTheme="minorHAnsi" w:eastAsia="Calibri" w:hAnsiTheme="minorHAnsi" w:cstheme="minorHAnsi"/>
                <w:sz w:val="18"/>
                <w:szCs w:val="18"/>
              </w:rPr>
              <w:t>u</w:t>
            </w:r>
            <w:r w:rsidRPr="00181084">
              <w:rPr>
                <w:rFonts w:asciiTheme="minorHAnsi" w:eastAsia="Calibri" w:hAnsiTheme="minorHAnsi" w:cstheme="minorHAnsi"/>
                <w:sz w:val="18"/>
                <w:szCs w:val="18"/>
              </w:rPr>
              <w:t xml:space="preserve">teuil roulant (réf : pas de lim. </w:t>
            </w:r>
            <w:r w:rsidR="00CF3515">
              <w:rPr>
                <w:rFonts w:asciiTheme="minorHAnsi" w:eastAsia="Calibri" w:hAnsiTheme="minorHAnsi" w:cstheme="minorHAnsi"/>
                <w:sz w:val="18"/>
                <w:szCs w:val="18"/>
              </w:rPr>
              <w:t>m</w:t>
            </w:r>
            <w:r w:rsidRPr="00181084">
              <w:rPr>
                <w:rFonts w:asciiTheme="minorHAnsi" w:eastAsia="Calibri" w:hAnsiTheme="minorHAnsi" w:cstheme="minorHAnsi"/>
                <w:sz w:val="18"/>
                <w:szCs w:val="18"/>
              </w:rPr>
              <w:t xml:space="preserve">otrices) </w:t>
            </w:r>
          </w:p>
        </w:tc>
        <w:tc>
          <w:tcPr>
            <w:tcW w:w="0" w:type="dxa"/>
            <w:shd w:val="clear" w:color="auto" w:fill="C4BC96" w:themeFill="background2" w:themeFillShade="BF"/>
          </w:tcPr>
          <w:p w14:paraId="7C70843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-0.131***</w:t>
            </w:r>
          </w:p>
        </w:tc>
        <w:tc>
          <w:tcPr>
            <w:tcW w:w="0" w:type="dxa"/>
            <w:shd w:val="clear" w:color="auto" w:fill="C4BC96" w:themeFill="background2" w:themeFillShade="BF"/>
          </w:tcPr>
          <w:p w14:paraId="038DB5F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-0.199***</w:t>
            </w:r>
          </w:p>
        </w:tc>
      </w:tr>
      <w:tr w:rsidR="007A1E1D" w:rsidRPr="00181084" w14:paraId="43570956"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6FA5FC31" w14:textId="4DE0786F"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cognitives (réf : pas de limitations cognitives) </w:t>
            </w:r>
          </w:p>
        </w:tc>
        <w:tc>
          <w:tcPr>
            <w:tcW w:w="2653" w:type="dxa"/>
            <w:shd w:val="clear" w:color="auto" w:fill="C4BC96" w:themeFill="background2" w:themeFillShade="BF"/>
          </w:tcPr>
          <w:p w14:paraId="4DC8D71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-0.151***</w:t>
            </w:r>
          </w:p>
        </w:tc>
        <w:tc>
          <w:tcPr>
            <w:tcW w:w="2591" w:type="dxa"/>
            <w:shd w:val="clear" w:color="auto" w:fill="C4BC96" w:themeFill="background2" w:themeFillShade="BF"/>
          </w:tcPr>
          <w:p w14:paraId="2CF1625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-0.129**</w:t>
            </w:r>
          </w:p>
        </w:tc>
      </w:tr>
      <w:tr w:rsidR="007A1E1D" w:rsidRPr="00181084" w14:paraId="54AC44AF"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7D0DFEA2"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visuelles (réf : pas de limitations visuelles) </w:t>
            </w:r>
          </w:p>
        </w:tc>
        <w:tc>
          <w:tcPr>
            <w:tcW w:w="2653" w:type="dxa"/>
            <w:shd w:val="clear" w:color="auto" w:fill="auto"/>
          </w:tcPr>
          <w:p w14:paraId="1CEE7741"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-0.0812</w:t>
            </w:r>
          </w:p>
        </w:tc>
        <w:tc>
          <w:tcPr>
            <w:tcW w:w="2591" w:type="dxa"/>
            <w:shd w:val="clear" w:color="auto" w:fill="auto"/>
          </w:tcPr>
          <w:p w14:paraId="0361A96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0.0604</w:t>
            </w:r>
          </w:p>
        </w:tc>
      </w:tr>
      <w:tr w:rsidR="007A1E1D" w:rsidRPr="00181084" w14:paraId="5969C1AA"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6FD3C1DE"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auditives (réf : pas de limitations auditives) </w:t>
            </w:r>
          </w:p>
        </w:tc>
        <w:tc>
          <w:tcPr>
            <w:tcW w:w="2653" w:type="dxa"/>
            <w:shd w:val="clear" w:color="auto" w:fill="auto"/>
          </w:tcPr>
          <w:p w14:paraId="29C148C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0.0007</w:t>
            </w:r>
          </w:p>
        </w:tc>
        <w:tc>
          <w:tcPr>
            <w:tcW w:w="2591" w:type="dxa"/>
            <w:shd w:val="clear" w:color="auto" w:fill="auto"/>
          </w:tcPr>
          <w:p w14:paraId="7710C53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0.0038</w:t>
            </w:r>
          </w:p>
        </w:tc>
      </w:tr>
      <w:tr w:rsidR="007A1E1D" w:rsidRPr="00181084" w14:paraId="63E9E345" w14:textId="77777777" w:rsidTr="0057371A">
        <w:trPr>
          <w:trHeight w:hRule="exact" w:val="555"/>
        </w:trPr>
        <w:tc>
          <w:tcPr>
            <w:cnfStyle w:val="001000000000" w:firstRow="0" w:lastRow="0" w:firstColumn="1" w:lastColumn="0" w:oddVBand="0" w:evenVBand="0" w:oddHBand="0" w:evenHBand="0" w:firstRowFirstColumn="0" w:firstRowLastColumn="0" w:lastRowFirstColumn="0" w:lastRowLastColumn="0"/>
            <w:tcW w:w="0" w:type="dxa"/>
            <w:shd w:val="clear" w:color="auto" w:fill="D6E3BC" w:themeFill="accent3" w:themeFillTint="66"/>
          </w:tcPr>
          <w:p w14:paraId="49378115"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b/>
                <w:sz w:val="18"/>
                <w:szCs w:val="18"/>
              </w:rPr>
              <w:t>Vaccination contre l’hépatite B (pr</w:t>
            </w:r>
            <w:r w:rsidRPr="00181084">
              <w:rPr>
                <w:rFonts w:asciiTheme="minorHAnsi" w:eastAsia="Calibri" w:hAnsiTheme="minorHAnsi" w:cstheme="minorHAnsi"/>
                <w:b/>
                <w:sz w:val="18"/>
                <w:szCs w:val="18"/>
              </w:rPr>
              <w:t>o</w:t>
            </w:r>
            <w:r w:rsidRPr="00181084">
              <w:rPr>
                <w:rFonts w:asciiTheme="minorHAnsi" w:eastAsia="Calibri" w:hAnsiTheme="minorHAnsi" w:cstheme="minorHAnsi"/>
                <w:b/>
                <w:sz w:val="18"/>
                <w:szCs w:val="18"/>
              </w:rPr>
              <w:t>babilité de recours pop 45%)</w:t>
            </w:r>
          </w:p>
        </w:tc>
        <w:tc>
          <w:tcPr>
            <w:tcW w:w="0" w:type="dxa"/>
            <w:shd w:val="clear" w:color="auto" w:fill="D6E3BC" w:themeFill="accent3" w:themeFillTint="66"/>
          </w:tcPr>
          <w:p w14:paraId="715FD2C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1 (variables dém</w:t>
            </w:r>
            <w:r w:rsidRPr="00181084">
              <w:rPr>
                <w:rFonts w:asciiTheme="minorHAnsi" w:eastAsia="Calibri" w:hAnsiTheme="minorHAnsi" w:cstheme="minorHAnsi"/>
                <w:sz w:val="18"/>
                <w:szCs w:val="18"/>
              </w:rPr>
              <w:t>o</w:t>
            </w:r>
            <w:r w:rsidRPr="00181084">
              <w:rPr>
                <w:rFonts w:asciiTheme="minorHAnsi" w:eastAsia="Calibri" w:hAnsiTheme="minorHAnsi" w:cstheme="minorHAnsi"/>
                <w:sz w:val="18"/>
                <w:szCs w:val="18"/>
              </w:rPr>
              <w:t xml:space="preserve">graphiques + besoins de soins) </w:t>
            </w:r>
          </w:p>
        </w:tc>
        <w:tc>
          <w:tcPr>
            <w:tcW w:w="0" w:type="dxa"/>
            <w:shd w:val="clear" w:color="auto" w:fill="D6E3BC" w:themeFill="accent3" w:themeFillTint="66"/>
          </w:tcPr>
          <w:p w14:paraId="0426E9F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Modèle 2 (Modèle 1 + v</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riables sociales) </w:t>
            </w:r>
          </w:p>
        </w:tc>
      </w:tr>
      <w:tr w:rsidR="007A1E1D" w:rsidRPr="00181084" w14:paraId="4CD51368"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1EC0BFA9"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Fauteuil roulant (réf : pas de limit</w:t>
            </w:r>
            <w:r w:rsidRPr="00181084">
              <w:rPr>
                <w:rFonts w:asciiTheme="minorHAnsi" w:eastAsia="Calibri" w:hAnsiTheme="minorHAnsi" w:cstheme="minorHAnsi"/>
                <w:sz w:val="18"/>
                <w:szCs w:val="18"/>
              </w:rPr>
              <w:t>a</w:t>
            </w:r>
            <w:r w:rsidRPr="00181084">
              <w:rPr>
                <w:rFonts w:asciiTheme="minorHAnsi" w:eastAsia="Calibri" w:hAnsiTheme="minorHAnsi" w:cstheme="minorHAnsi"/>
                <w:sz w:val="18"/>
                <w:szCs w:val="18"/>
              </w:rPr>
              <w:t xml:space="preserve">tions motrices) </w:t>
            </w:r>
          </w:p>
        </w:tc>
        <w:tc>
          <w:tcPr>
            <w:tcW w:w="2653" w:type="dxa"/>
            <w:shd w:val="clear" w:color="auto" w:fill="C4BC96" w:themeFill="background2" w:themeFillShade="BF"/>
          </w:tcPr>
          <w:p w14:paraId="638577F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-0.180***</w:t>
            </w:r>
          </w:p>
        </w:tc>
        <w:tc>
          <w:tcPr>
            <w:tcW w:w="2591" w:type="dxa"/>
            <w:shd w:val="clear" w:color="auto" w:fill="C4BC96" w:themeFill="background2" w:themeFillShade="BF"/>
          </w:tcPr>
          <w:p w14:paraId="1257C96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-0.195***</w:t>
            </w:r>
          </w:p>
        </w:tc>
      </w:tr>
      <w:tr w:rsidR="007A1E1D" w:rsidRPr="00181084" w14:paraId="61F7AC35" w14:textId="77777777" w:rsidTr="0057371A">
        <w:trPr>
          <w:trHeight w:hRule="exact" w:val="805"/>
        </w:trPr>
        <w:tc>
          <w:tcPr>
            <w:cnfStyle w:val="001000000000" w:firstRow="0" w:lastRow="0" w:firstColumn="1" w:lastColumn="0" w:oddVBand="0" w:evenVBand="0" w:oddHBand="0" w:evenHBand="0" w:firstRowFirstColumn="0" w:firstRowLastColumn="0" w:lastRowFirstColumn="0" w:lastRowLastColumn="0"/>
            <w:tcW w:w="0" w:type="dxa"/>
          </w:tcPr>
          <w:p w14:paraId="25566B14" w14:textId="5DF08006"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Limitations motrices mais sans fa</w:t>
            </w:r>
            <w:r w:rsidRPr="00181084">
              <w:rPr>
                <w:rFonts w:asciiTheme="minorHAnsi" w:eastAsia="Calibri" w:hAnsiTheme="minorHAnsi" w:cstheme="minorHAnsi"/>
                <w:sz w:val="18"/>
                <w:szCs w:val="18"/>
              </w:rPr>
              <w:t>u</w:t>
            </w:r>
            <w:r w:rsidRPr="00181084">
              <w:rPr>
                <w:rFonts w:asciiTheme="minorHAnsi" w:eastAsia="Calibri" w:hAnsiTheme="minorHAnsi" w:cstheme="minorHAnsi"/>
                <w:sz w:val="18"/>
                <w:szCs w:val="18"/>
              </w:rPr>
              <w:t xml:space="preserve">teuil roulant (réf : pas de lim. </w:t>
            </w:r>
            <w:r w:rsidR="00CF3515">
              <w:rPr>
                <w:rFonts w:asciiTheme="minorHAnsi" w:eastAsia="Calibri" w:hAnsiTheme="minorHAnsi" w:cstheme="minorHAnsi"/>
                <w:sz w:val="18"/>
                <w:szCs w:val="18"/>
              </w:rPr>
              <w:t>m</w:t>
            </w:r>
            <w:r w:rsidRPr="00181084">
              <w:rPr>
                <w:rFonts w:asciiTheme="minorHAnsi" w:eastAsia="Calibri" w:hAnsiTheme="minorHAnsi" w:cstheme="minorHAnsi"/>
                <w:sz w:val="18"/>
                <w:szCs w:val="18"/>
              </w:rPr>
              <w:t xml:space="preserve">otrices) </w:t>
            </w:r>
          </w:p>
        </w:tc>
        <w:tc>
          <w:tcPr>
            <w:tcW w:w="0" w:type="dxa"/>
            <w:shd w:val="clear" w:color="auto" w:fill="auto"/>
          </w:tcPr>
          <w:p w14:paraId="7F56A02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-0.0139</w:t>
            </w:r>
          </w:p>
        </w:tc>
        <w:tc>
          <w:tcPr>
            <w:tcW w:w="0" w:type="dxa"/>
            <w:shd w:val="clear" w:color="auto" w:fill="auto"/>
          </w:tcPr>
          <w:p w14:paraId="3949DEDE"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-0.0153</w:t>
            </w:r>
          </w:p>
        </w:tc>
      </w:tr>
      <w:tr w:rsidR="007A1E1D" w:rsidRPr="00181084" w14:paraId="6E3C5010"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75966AFB" w14:textId="37792459"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cognitives (réf : pas de limitations cognitives) </w:t>
            </w:r>
          </w:p>
        </w:tc>
        <w:tc>
          <w:tcPr>
            <w:tcW w:w="2653" w:type="dxa"/>
            <w:shd w:val="clear" w:color="auto" w:fill="auto"/>
          </w:tcPr>
          <w:p w14:paraId="26931772"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-0.0195</w:t>
            </w:r>
          </w:p>
        </w:tc>
        <w:tc>
          <w:tcPr>
            <w:tcW w:w="2591" w:type="dxa"/>
            <w:shd w:val="clear" w:color="auto" w:fill="auto"/>
          </w:tcPr>
          <w:p w14:paraId="73F7386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-0.0098</w:t>
            </w:r>
          </w:p>
        </w:tc>
      </w:tr>
      <w:tr w:rsidR="007A1E1D" w:rsidRPr="00181084" w14:paraId="6C35A57C"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1AD864EF"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t xml:space="preserve">Limitations visuelles (réf : pas de limitations visuelles) </w:t>
            </w:r>
          </w:p>
        </w:tc>
        <w:tc>
          <w:tcPr>
            <w:tcW w:w="2653" w:type="dxa"/>
            <w:shd w:val="clear" w:color="auto" w:fill="C4BC96" w:themeFill="background2" w:themeFillShade="BF"/>
          </w:tcPr>
          <w:p w14:paraId="7AA4E6A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-0.161***</w:t>
            </w:r>
          </w:p>
        </w:tc>
        <w:tc>
          <w:tcPr>
            <w:tcW w:w="2591" w:type="dxa"/>
            <w:shd w:val="clear" w:color="auto" w:fill="C4BC96" w:themeFill="background2" w:themeFillShade="BF"/>
          </w:tcPr>
          <w:p w14:paraId="2332BAD1"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181084">
              <w:rPr>
                <w:rFonts w:asciiTheme="minorHAnsi" w:eastAsia="Calibri" w:hAnsiTheme="minorHAnsi" w:cstheme="minorHAnsi"/>
                <w:b/>
                <w:sz w:val="18"/>
                <w:szCs w:val="18"/>
              </w:rPr>
              <w:t>-0.0170***</w:t>
            </w:r>
          </w:p>
        </w:tc>
      </w:tr>
      <w:tr w:rsidR="007A1E1D" w:rsidRPr="00181084" w14:paraId="0B0A57F2" w14:textId="77777777" w:rsidTr="00181084">
        <w:trPr>
          <w:trHeight w:hRule="exact" w:val="510"/>
        </w:trPr>
        <w:tc>
          <w:tcPr>
            <w:cnfStyle w:val="001000000000" w:firstRow="0" w:lastRow="0" w:firstColumn="1" w:lastColumn="0" w:oddVBand="0" w:evenVBand="0" w:oddHBand="0" w:evenHBand="0" w:firstRowFirstColumn="0" w:firstRowLastColumn="0" w:lastRowFirstColumn="0" w:lastRowLastColumn="0"/>
            <w:tcW w:w="3261" w:type="dxa"/>
          </w:tcPr>
          <w:p w14:paraId="611A83C6" w14:textId="77777777" w:rsidR="007A1E1D" w:rsidRPr="00181084" w:rsidRDefault="007A1E1D" w:rsidP="00181084">
            <w:pPr>
              <w:pStyle w:val="Corpsdetexte"/>
              <w:jc w:val="left"/>
              <w:rPr>
                <w:rFonts w:asciiTheme="minorHAnsi" w:eastAsia="Calibri" w:hAnsiTheme="minorHAnsi" w:cstheme="minorHAnsi"/>
                <w:sz w:val="18"/>
                <w:szCs w:val="18"/>
              </w:rPr>
            </w:pPr>
            <w:r w:rsidRPr="00181084">
              <w:rPr>
                <w:rFonts w:asciiTheme="minorHAnsi" w:eastAsia="Calibri" w:hAnsiTheme="minorHAnsi" w:cstheme="minorHAnsi"/>
                <w:sz w:val="18"/>
                <w:szCs w:val="18"/>
              </w:rPr>
              <w:lastRenderedPageBreak/>
              <w:t xml:space="preserve">Limitations auditives (réf : pas de limitations auditives) </w:t>
            </w:r>
          </w:p>
        </w:tc>
        <w:tc>
          <w:tcPr>
            <w:tcW w:w="2653" w:type="dxa"/>
            <w:shd w:val="clear" w:color="auto" w:fill="auto"/>
          </w:tcPr>
          <w:p w14:paraId="513E3B57"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0.0089</w:t>
            </w:r>
          </w:p>
        </w:tc>
        <w:tc>
          <w:tcPr>
            <w:tcW w:w="2591" w:type="dxa"/>
            <w:shd w:val="clear" w:color="auto" w:fill="auto"/>
          </w:tcPr>
          <w:p w14:paraId="5B774E79"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181084">
              <w:rPr>
                <w:rFonts w:asciiTheme="minorHAnsi" w:eastAsia="Calibri" w:hAnsiTheme="minorHAnsi" w:cstheme="minorHAnsi"/>
                <w:sz w:val="18"/>
                <w:szCs w:val="18"/>
              </w:rPr>
              <w:t>0.0183</w:t>
            </w:r>
          </w:p>
        </w:tc>
      </w:tr>
    </w:tbl>
    <w:p w14:paraId="26DC862E" w14:textId="77777777" w:rsidR="007A1E1D" w:rsidRDefault="007A1E1D" w:rsidP="00181084">
      <w:pPr>
        <w:pStyle w:val="Corpsdetexte"/>
        <w:jc w:val="left"/>
      </w:pPr>
    </w:p>
    <w:p w14:paraId="75144D14" w14:textId="77777777" w:rsidR="007A1E1D" w:rsidRPr="007A1E1D" w:rsidRDefault="007A1E1D" w:rsidP="007A1E1D">
      <w:pPr>
        <w:pStyle w:val="Corpsdetexte"/>
        <w:rPr>
          <w:b/>
        </w:rPr>
      </w:pPr>
      <w:r w:rsidRPr="007A1E1D">
        <w:rPr>
          <w:b/>
        </w:rPr>
        <w:t>Tableau 3 : recours aux soins courants des personnes bénéficiant d’une reconnaissance administrative de hand</w:t>
      </w:r>
      <w:r w:rsidRPr="007A1E1D">
        <w:rPr>
          <w:b/>
        </w:rPr>
        <w:t>i</w:t>
      </w:r>
      <w:r w:rsidRPr="007A1E1D">
        <w:rPr>
          <w:b/>
        </w:rPr>
        <w:t xml:space="preserve">cap </w:t>
      </w:r>
    </w:p>
    <w:tbl>
      <w:tblPr>
        <w:tblStyle w:val="Grilledutableau"/>
        <w:tblW w:w="0" w:type="auto"/>
        <w:tblLook w:val="04A0" w:firstRow="1" w:lastRow="0" w:firstColumn="1" w:lastColumn="0" w:noHBand="0" w:noVBand="1"/>
      </w:tblPr>
      <w:tblGrid>
        <w:gridCol w:w="3488"/>
        <w:gridCol w:w="2653"/>
        <w:gridCol w:w="2591"/>
      </w:tblGrid>
      <w:tr w:rsidR="007A1E1D" w:rsidRPr="00181084" w14:paraId="14A4DB3E"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shd w:val="clear" w:color="auto" w:fill="D6E3BC" w:themeFill="accent3" w:themeFillTint="66"/>
          </w:tcPr>
          <w:p w14:paraId="26DDE537" w14:textId="77777777" w:rsidR="007A1E1D" w:rsidRPr="00181084" w:rsidRDefault="007A1E1D" w:rsidP="007A1E1D">
            <w:pPr>
              <w:pStyle w:val="Corpsdetexte"/>
              <w:rPr>
                <w:rFonts w:asciiTheme="minorHAnsi" w:eastAsia="Calibri" w:hAnsiTheme="minorHAnsi"/>
                <w:b/>
                <w:sz w:val="18"/>
                <w:szCs w:val="18"/>
              </w:rPr>
            </w:pPr>
            <w:r w:rsidRPr="00181084">
              <w:rPr>
                <w:rFonts w:asciiTheme="minorHAnsi" w:eastAsia="Calibri" w:hAnsiTheme="minorHAnsi"/>
                <w:b/>
                <w:sz w:val="18"/>
                <w:szCs w:val="18"/>
              </w:rPr>
              <w:t xml:space="preserve">Soins dentaires (Probabilité de recours en population générale : 56%) </w:t>
            </w:r>
          </w:p>
          <w:p w14:paraId="29AF26A7" w14:textId="77777777" w:rsidR="007A1E1D" w:rsidRPr="00181084" w:rsidRDefault="007A1E1D" w:rsidP="007A1E1D">
            <w:pPr>
              <w:pStyle w:val="Corpsdetexte"/>
              <w:rPr>
                <w:rFonts w:asciiTheme="minorHAnsi" w:eastAsia="Calibri" w:hAnsiTheme="minorHAnsi"/>
                <w:sz w:val="18"/>
                <w:szCs w:val="18"/>
              </w:rPr>
            </w:pPr>
          </w:p>
        </w:tc>
        <w:tc>
          <w:tcPr>
            <w:tcW w:w="2653" w:type="dxa"/>
            <w:shd w:val="clear" w:color="auto" w:fill="D6E3BC" w:themeFill="accent3" w:themeFillTint="66"/>
          </w:tcPr>
          <w:p w14:paraId="3F6AACEF" w14:textId="77777777" w:rsidR="007A1E1D" w:rsidRPr="00181084" w:rsidRDefault="007A1E1D" w:rsidP="007A1E1D">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1 (variables dém</w:t>
            </w:r>
            <w:r w:rsidRPr="00181084">
              <w:rPr>
                <w:rFonts w:asciiTheme="minorHAnsi" w:eastAsia="Calibri" w:hAnsiTheme="minorHAnsi"/>
                <w:sz w:val="18"/>
                <w:szCs w:val="18"/>
              </w:rPr>
              <w:t>o</w:t>
            </w:r>
            <w:r w:rsidRPr="00181084">
              <w:rPr>
                <w:rFonts w:asciiTheme="minorHAnsi" w:eastAsia="Calibri" w:hAnsiTheme="minorHAnsi"/>
                <w:sz w:val="18"/>
                <w:szCs w:val="18"/>
              </w:rPr>
              <w:t xml:space="preserve">graphiques + besoins de soins) </w:t>
            </w:r>
          </w:p>
        </w:tc>
        <w:tc>
          <w:tcPr>
            <w:tcW w:w="2591" w:type="dxa"/>
            <w:shd w:val="clear" w:color="auto" w:fill="D6E3BC" w:themeFill="accent3" w:themeFillTint="66"/>
          </w:tcPr>
          <w:p w14:paraId="7A79259C" w14:textId="77777777" w:rsidR="007A1E1D" w:rsidRPr="00181084" w:rsidRDefault="007A1E1D" w:rsidP="007A1E1D">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2 (Modèle 1 + v</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riables sociales) </w:t>
            </w:r>
          </w:p>
        </w:tc>
      </w:tr>
      <w:tr w:rsidR="007A1E1D" w:rsidRPr="00181084" w14:paraId="33DDEFB3"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137B9FE2"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AAH (référence : pas de reconnaissance administrative) </w:t>
            </w:r>
          </w:p>
        </w:tc>
        <w:tc>
          <w:tcPr>
            <w:tcW w:w="2653" w:type="dxa"/>
            <w:shd w:val="clear" w:color="auto" w:fill="C4BC96" w:themeFill="background2" w:themeFillShade="BF"/>
          </w:tcPr>
          <w:p w14:paraId="08B16A16" w14:textId="77777777" w:rsidR="007A1E1D" w:rsidRPr="00181084" w:rsidRDefault="007A1E1D" w:rsidP="007A1E1D">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-0.0904***</w:t>
            </w:r>
          </w:p>
        </w:tc>
        <w:tc>
          <w:tcPr>
            <w:tcW w:w="2591" w:type="dxa"/>
            <w:shd w:val="clear" w:color="auto" w:fill="auto"/>
          </w:tcPr>
          <w:p w14:paraId="193F7E53" w14:textId="77777777" w:rsidR="007A1E1D" w:rsidRPr="00181084" w:rsidRDefault="007A1E1D" w:rsidP="007A1E1D">
            <w:pPr>
              <w:pStyle w:val="Corpsdetexte"/>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-0.0190</w:t>
            </w:r>
          </w:p>
        </w:tc>
      </w:tr>
      <w:tr w:rsidR="007A1E1D" w:rsidRPr="00181084" w14:paraId="7703F706"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64416CAF"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Pension d’invalidité (référence : pas de reconnaissance administrative) </w:t>
            </w:r>
          </w:p>
        </w:tc>
        <w:tc>
          <w:tcPr>
            <w:tcW w:w="2653" w:type="dxa"/>
            <w:shd w:val="clear" w:color="auto" w:fill="auto"/>
          </w:tcPr>
          <w:p w14:paraId="3CF35A6E"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0.0235</w:t>
            </w:r>
          </w:p>
        </w:tc>
        <w:tc>
          <w:tcPr>
            <w:tcW w:w="2591" w:type="dxa"/>
            <w:shd w:val="clear" w:color="auto" w:fill="auto"/>
          </w:tcPr>
          <w:p w14:paraId="5EE0F42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0.0466</w:t>
            </w:r>
          </w:p>
        </w:tc>
      </w:tr>
      <w:tr w:rsidR="007A1E1D" w:rsidRPr="00181084" w14:paraId="25618A11"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6E28A67A"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Rente d’incapacité (référence : pas de reconnaissance administrative) </w:t>
            </w:r>
          </w:p>
        </w:tc>
        <w:tc>
          <w:tcPr>
            <w:tcW w:w="2653" w:type="dxa"/>
            <w:shd w:val="clear" w:color="auto" w:fill="auto"/>
          </w:tcPr>
          <w:p w14:paraId="2887758E"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-0.0484</w:t>
            </w:r>
          </w:p>
        </w:tc>
        <w:tc>
          <w:tcPr>
            <w:tcW w:w="2591" w:type="dxa"/>
            <w:shd w:val="clear" w:color="auto" w:fill="auto"/>
          </w:tcPr>
          <w:p w14:paraId="6FB59D5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-0.0472</w:t>
            </w:r>
          </w:p>
        </w:tc>
      </w:tr>
      <w:tr w:rsidR="007A1E1D" w:rsidRPr="00181084" w14:paraId="0A503AB0"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29FA6D0B"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Autres reconnaissances (référence : pas de reconnaissance administrative) </w:t>
            </w:r>
          </w:p>
        </w:tc>
        <w:tc>
          <w:tcPr>
            <w:tcW w:w="2653" w:type="dxa"/>
            <w:shd w:val="clear" w:color="auto" w:fill="auto"/>
          </w:tcPr>
          <w:p w14:paraId="073601B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0.0246</w:t>
            </w:r>
          </w:p>
        </w:tc>
        <w:tc>
          <w:tcPr>
            <w:tcW w:w="2591" w:type="dxa"/>
            <w:shd w:val="clear" w:color="auto" w:fill="auto"/>
          </w:tcPr>
          <w:p w14:paraId="3DEB636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0.0439</w:t>
            </w:r>
          </w:p>
        </w:tc>
      </w:tr>
      <w:tr w:rsidR="007A1E1D" w:rsidRPr="00181084" w14:paraId="336B656B"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shd w:val="clear" w:color="auto" w:fill="D6E3BC" w:themeFill="accent3" w:themeFillTint="66"/>
          </w:tcPr>
          <w:p w14:paraId="42E81920" w14:textId="77777777" w:rsidR="007A1E1D" w:rsidRPr="00181084" w:rsidRDefault="007A1E1D" w:rsidP="00181084">
            <w:pPr>
              <w:pStyle w:val="Corpsdetexte"/>
              <w:jc w:val="left"/>
              <w:rPr>
                <w:rFonts w:asciiTheme="minorHAnsi" w:eastAsia="Calibri" w:hAnsiTheme="minorHAnsi"/>
                <w:b/>
                <w:sz w:val="18"/>
                <w:szCs w:val="18"/>
              </w:rPr>
            </w:pPr>
            <w:r w:rsidRPr="00181084">
              <w:rPr>
                <w:rFonts w:asciiTheme="minorHAnsi" w:eastAsia="Calibri" w:hAnsiTheme="minorHAnsi"/>
                <w:b/>
                <w:sz w:val="18"/>
                <w:szCs w:val="18"/>
              </w:rPr>
              <w:t xml:space="preserve">Soins gynécologiques (Probabilité de recours pour les femmes : 49%) </w:t>
            </w:r>
          </w:p>
        </w:tc>
        <w:tc>
          <w:tcPr>
            <w:tcW w:w="2653" w:type="dxa"/>
            <w:shd w:val="clear" w:color="auto" w:fill="D6E3BC" w:themeFill="accent3" w:themeFillTint="66"/>
          </w:tcPr>
          <w:p w14:paraId="5D18BA6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1 (variables dém</w:t>
            </w:r>
            <w:r w:rsidRPr="00181084">
              <w:rPr>
                <w:rFonts w:asciiTheme="minorHAnsi" w:eastAsia="Calibri" w:hAnsiTheme="minorHAnsi"/>
                <w:sz w:val="18"/>
                <w:szCs w:val="18"/>
              </w:rPr>
              <w:t>o</w:t>
            </w:r>
            <w:r w:rsidRPr="00181084">
              <w:rPr>
                <w:rFonts w:asciiTheme="minorHAnsi" w:eastAsia="Calibri" w:hAnsiTheme="minorHAnsi"/>
                <w:sz w:val="18"/>
                <w:szCs w:val="18"/>
              </w:rPr>
              <w:t xml:space="preserve">graphiques + besoins de soins) </w:t>
            </w:r>
          </w:p>
        </w:tc>
        <w:tc>
          <w:tcPr>
            <w:tcW w:w="2591" w:type="dxa"/>
            <w:shd w:val="clear" w:color="auto" w:fill="D6E3BC" w:themeFill="accent3" w:themeFillTint="66"/>
          </w:tcPr>
          <w:p w14:paraId="18B35909"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2 (Modèle 1 + v</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riables sociales) </w:t>
            </w:r>
          </w:p>
        </w:tc>
      </w:tr>
      <w:tr w:rsidR="007A1E1D" w:rsidRPr="00181084" w14:paraId="137C2DB7"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3A1E87B9"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AAH (référence : pas de reconnaissance administrative) </w:t>
            </w:r>
          </w:p>
        </w:tc>
        <w:tc>
          <w:tcPr>
            <w:tcW w:w="2653" w:type="dxa"/>
            <w:shd w:val="clear" w:color="auto" w:fill="C4BC96" w:themeFill="background2" w:themeFillShade="BF"/>
          </w:tcPr>
          <w:p w14:paraId="4049937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-0.170***</w:t>
            </w:r>
          </w:p>
        </w:tc>
        <w:tc>
          <w:tcPr>
            <w:tcW w:w="2591" w:type="dxa"/>
            <w:shd w:val="clear" w:color="auto" w:fill="C4BC96" w:themeFill="background2" w:themeFillShade="BF"/>
          </w:tcPr>
          <w:p w14:paraId="61ABB64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-0.0924**</w:t>
            </w:r>
          </w:p>
        </w:tc>
      </w:tr>
      <w:tr w:rsidR="007A1E1D" w:rsidRPr="00181084" w14:paraId="253B61B7"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1DF2853F"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Pension d’invalidité (référence : pas de reconnaissance administrative) </w:t>
            </w:r>
          </w:p>
        </w:tc>
        <w:tc>
          <w:tcPr>
            <w:tcW w:w="2653" w:type="dxa"/>
            <w:shd w:val="clear" w:color="auto" w:fill="auto"/>
          </w:tcPr>
          <w:p w14:paraId="7BEE8B77"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0.0252</w:t>
            </w:r>
          </w:p>
        </w:tc>
        <w:tc>
          <w:tcPr>
            <w:tcW w:w="2591" w:type="dxa"/>
            <w:shd w:val="clear" w:color="auto" w:fill="auto"/>
          </w:tcPr>
          <w:p w14:paraId="09693C4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0.0329</w:t>
            </w:r>
          </w:p>
        </w:tc>
      </w:tr>
      <w:tr w:rsidR="007A1E1D" w:rsidRPr="00181084" w14:paraId="76563321"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72207A1A"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Rente d’incapacité (référence : pas de reconnaissance administrative) </w:t>
            </w:r>
          </w:p>
        </w:tc>
        <w:tc>
          <w:tcPr>
            <w:tcW w:w="2653" w:type="dxa"/>
            <w:shd w:val="clear" w:color="auto" w:fill="auto"/>
          </w:tcPr>
          <w:p w14:paraId="62F9225E"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0.0245</w:t>
            </w:r>
          </w:p>
        </w:tc>
        <w:tc>
          <w:tcPr>
            <w:tcW w:w="2591" w:type="dxa"/>
            <w:shd w:val="clear" w:color="auto" w:fill="auto"/>
          </w:tcPr>
          <w:p w14:paraId="0AA851C9"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0.00963</w:t>
            </w:r>
          </w:p>
        </w:tc>
      </w:tr>
      <w:tr w:rsidR="007A1E1D" w:rsidRPr="00181084" w14:paraId="3045D864"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488" w:type="dxa"/>
          </w:tcPr>
          <w:p w14:paraId="63F47225"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Autres reconnaissances (référence : pas de reconnaissance administrative) </w:t>
            </w:r>
          </w:p>
        </w:tc>
        <w:tc>
          <w:tcPr>
            <w:tcW w:w="2653" w:type="dxa"/>
            <w:shd w:val="clear" w:color="auto" w:fill="auto"/>
          </w:tcPr>
          <w:p w14:paraId="33CBEAB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-0.0381</w:t>
            </w:r>
          </w:p>
        </w:tc>
        <w:tc>
          <w:tcPr>
            <w:tcW w:w="2591" w:type="dxa"/>
            <w:shd w:val="clear" w:color="auto" w:fill="auto"/>
          </w:tcPr>
          <w:p w14:paraId="30F7DF7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0.00114</w:t>
            </w:r>
          </w:p>
        </w:tc>
      </w:tr>
    </w:tbl>
    <w:p w14:paraId="028B3239" w14:textId="77777777" w:rsidR="007A1E1D" w:rsidRPr="00181084" w:rsidRDefault="007A1E1D" w:rsidP="00181084">
      <w:pPr>
        <w:pStyle w:val="Corpsdetexte"/>
        <w:jc w:val="left"/>
        <w:rPr>
          <w:b/>
          <w:sz w:val="18"/>
          <w:szCs w:val="18"/>
        </w:rPr>
      </w:pPr>
    </w:p>
    <w:p w14:paraId="31126988" w14:textId="77777777" w:rsidR="007A1E1D" w:rsidRPr="007A1E1D" w:rsidRDefault="007A1E1D" w:rsidP="007A1E1D">
      <w:pPr>
        <w:pStyle w:val="Corpsdetexte"/>
        <w:rPr>
          <w:b/>
        </w:rPr>
      </w:pPr>
      <w:r w:rsidRPr="007A1E1D">
        <w:rPr>
          <w:b/>
        </w:rPr>
        <w:br w:type="page"/>
      </w:r>
    </w:p>
    <w:p w14:paraId="2A67626C" w14:textId="77777777" w:rsidR="007A1E1D" w:rsidRPr="007A1E1D" w:rsidRDefault="007A1E1D" w:rsidP="007A1E1D">
      <w:pPr>
        <w:pStyle w:val="Corpsdetexte"/>
        <w:rPr>
          <w:b/>
        </w:rPr>
      </w:pPr>
      <w:r w:rsidRPr="007A1E1D">
        <w:rPr>
          <w:b/>
        </w:rPr>
        <w:lastRenderedPageBreak/>
        <w:t>Tableau 4 : recours aux soins préventifs des personnes bénéficiant d’une reconnaissance administrative de ha</w:t>
      </w:r>
      <w:r w:rsidRPr="007A1E1D">
        <w:rPr>
          <w:b/>
        </w:rPr>
        <w:t>n</w:t>
      </w:r>
      <w:r w:rsidRPr="007A1E1D">
        <w:rPr>
          <w:b/>
        </w:rPr>
        <w:t xml:space="preserve">dicap </w:t>
      </w:r>
    </w:p>
    <w:tbl>
      <w:tblPr>
        <w:tblStyle w:val="Grilledutableau"/>
        <w:tblW w:w="0" w:type="auto"/>
        <w:tblLook w:val="04A0" w:firstRow="1" w:lastRow="0" w:firstColumn="1" w:lastColumn="0" w:noHBand="0" w:noVBand="1"/>
      </w:tblPr>
      <w:tblGrid>
        <w:gridCol w:w="3070"/>
        <w:gridCol w:w="3071"/>
        <w:gridCol w:w="3071"/>
      </w:tblGrid>
      <w:tr w:rsidR="007A1E1D" w:rsidRPr="002E78E3" w14:paraId="1A082DE6"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shd w:val="clear" w:color="auto" w:fill="D6E3BC" w:themeFill="accent3" w:themeFillTint="66"/>
          </w:tcPr>
          <w:p w14:paraId="5B3795CF" w14:textId="77777777" w:rsidR="007A1E1D" w:rsidRPr="00181084" w:rsidRDefault="007A1E1D" w:rsidP="00181084">
            <w:pPr>
              <w:pStyle w:val="Corpsdetexte"/>
              <w:jc w:val="left"/>
              <w:rPr>
                <w:rFonts w:asciiTheme="minorHAnsi" w:eastAsia="Calibri" w:hAnsiTheme="minorHAnsi"/>
                <w:b/>
                <w:sz w:val="18"/>
                <w:szCs w:val="18"/>
              </w:rPr>
            </w:pPr>
            <w:r w:rsidRPr="00181084">
              <w:rPr>
                <w:rFonts w:asciiTheme="minorHAnsi" w:eastAsia="Calibri" w:hAnsiTheme="minorHAnsi"/>
                <w:b/>
                <w:sz w:val="18"/>
                <w:szCs w:val="18"/>
              </w:rPr>
              <w:t xml:space="preserve">Frottis cervico-utérin  (probabilité de recours population générale 80%) </w:t>
            </w:r>
          </w:p>
          <w:p w14:paraId="7E7B1876" w14:textId="77777777" w:rsidR="007A1E1D" w:rsidRPr="00181084" w:rsidRDefault="007A1E1D" w:rsidP="00181084">
            <w:pPr>
              <w:pStyle w:val="Corpsdetexte"/>
              <w:jc w:val="left"/>
              <w:rPr>
                <w:rFonts w:asciiTheme="minorHAnsi" w:eastAsia="Calibri" w:hAnsiTheme="minorHAnsi"/>
                <w:sz w:val="18"/>
                <w:szCs w:val="18"/>
              </w:rPr>
            </w:pPr>
          </w:p>
        </w:tc>
        <w:tc>
          <w:tcPr>
            <w:tcW w:w="3071" w:type="dxa"/>
            <w:shd w:val="clear" w:color="auto" w:fill="D6E3BC" w:themeFill="accent3" w:themeFillTint="66"/>
          </w:tcPr>
          <w:p w14:paraId="5366672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1 (variables démogr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phiques + besoins de soins) </w:t>
            </w:r>
          </w:p>
        </w:tc>
        <w:tc>
          <w:tcPr>
            <w:tcW w:w="3071" w:type="dxa"/>
            <w:shd w:val="clear" w:color="auto" w:fill="D6E3BC" w:themeFill="accent3" w:themeFillTint="66"/>
          </w:tcPr>
          <w:p w14:paraId="1A8FCF16"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 xml:space="preserve">Modèle 2 (Modèle 1 + variables sociales) </w:t>
            </w:r>
          </w:p>
        </w:tc>
      </w:tr>
      <w:tr w:rsidR="007A1E1D" w:rsidRPr="002E78E3" w14:paraId="64007928"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46D59F28"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AAH (référence : pas de reconnai</w:t>
            </w:r>
            <w:r w:rsidRPr="00181084">
              <w:rPr>
                <w:rFonts w:asciiTheme="minorHAnsi" w:eastAsia="Calibri" w:hAnsiTheme="minorHAnsi"/>
                <w:sz w:val="18"/>
                <w:szCs w:val="18"/>
              </w:rPr>
              <w:t>s</w:t>
            </w:r>
            <w:r w:rsidRPr="00181084">
              <w:rPr>
                <w:rFonts w:asciiTheme="minorHAnsi" w:eastAsia="Calibri" w:hAnsiTheme="minorHAnsi"/>
                <w:sz w:val="18"/>
                <w:szCs w:val="18"/>
              </w:rPr>
              <w:t xml:space="preserve">sance administrative) </w:t>
            </w:r>
          </w:p>
        </w:tc>
        <w:tc>
          <w:tcPr>
            <w:tcW w:w="3071" w:type="dxa"/>
            <w:shd w:val="clear" w:color="auto" w:fill="C4BC96" w:themeFill="background2" w:themeFillShade="BF"/>
          </w:tcPr>
          <w:p w14:paraId="0C4789C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-0.167***</w:t>
            </w:r>
          </w:p>
        </w:tc>
        <w:tc>
          <w:tcPr>
            <w:tcW w:w="3071" w:type="dxa"/>
            <w:shd w:val="clear" w:color="auto" w:fill="C4BC96" w:themeFill="background2" w:themeFillShade="BF"/>
          </w:tcPr>
          <w:p w14:paraId="2F7CDB9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-0.0733**</w:t>
            </w:r>
          </w:p>
        </w:tc>
      </w:tr>
      <w:tr w:rsidR="007A1E1D" w:rsidRPr="002E78E3" w14:paraId="7D5D0BB0"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0134DCCF"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Pension d’invalidité (référence : pas de reconnaissance administrative) </w:t>
            </w:r>
          </w:p>
        </w:tc>
        <w:tc>
          <w:tcPr>
            <w:tcW w:w="3071" w:type="dxa"/>
            <w:shd w:val="clear" w:color="auto" w:fill="C4BC96" w:themeFill="background2" w:themeFillShade="BF"/>
          </w:tcPr>
          <w:p w14:paraId="6407AC8A"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-0.0441*</w:t>
            </w:r>
          </w:p>
        </w:tc>
        <w:tc>
          <w:tcPr>
            <w:tcW w:w="3071" w:type="dxa"/>
            <w:shd w:val="clear" w:color="auto" w:fill="auto"/>
          </w:tcPr>
          <w:p w14:paraId="157324F2"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-0.0313</w:t>
            </w:r>
          </w:p>
        </w:tc>
      </w:tr>
      <w:tr w:rsidR="007A1E1D" w:rsidRPr="00181084" w14:paraId="5E72E877"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75964C7B"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Rente d’incapacité (référence : pas de reconnaissance administrative) </w:t>
            </w:r>
          </w:p>
        </w:tc>
        <w:tc>
          <w:tcPr>
            <w:tcW w:w="3071" w:type="dxa"/>
            <w:shd w:val="clear" w:color="auto" w:fill="auto"/>
          </w:tcPr>
          <w:p w14:paraId="2200FA1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0.00445</w:t>
            </w:r>
          </w:p>
        </w:tc>
        <w:tc>
          <w:tcPr>
            <w:tcW w:w="3071" w:type="dxa"/>
            <w:shd w:val="clear" w:color="auto" w:fill="auto"/>
          </w:tcPr>
          <w:p w14:paraId="1A87952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-0.0145</w:t>
            </w:r>
          </w:p>
        </w:tc>
      </w:tr>
      <w:tr w:rsidR="007A1E1D" w:rsidRPr="00181084" w14:paraId="78F2A8B8"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794D0680"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Autres reconnaissances (référence : pas de reconnaissance administr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tive) </w:t>
            </w:r>
          </w:p>
        </w:tc>
        <w:tc>
          <w:tcPr>
            <w:tcW w:w="3071" w:type="dxa"/>
            <w:shd w:val="clear" w:color="auto" w:fill="auto"/>
          </w:tcPr>
          <w:p w14:paraId="1AFF649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-0.0438</w:t>
            </w:r>
          </w:p>
        </w:tc>
        <w:tc>
          <w:tcPr>
            <w:tcW w:w="3071" w:type="dxa"/>
            <w:shd w:val="clear" w:color="auto" w:fill="auto"/>
          </w:tcPr>
          <w:p w14:paraId="52C2097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-0.0241</w:t>
            </w:r>
          </w:p>
        </w:tc>
      </w:tr>
      <w:tr w:rsidR="007A1E1D" w:rsidRPr="00181084" w14:paraId="4D628FEF"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shd w:val="clear" w:color="auto" w:fill="D6E3BC" w:themeFill="accent3" w:themeFillTint="66"/>
          </w:tcPr>
          <w:p w14:paraId="103F9069" w14:textId="77777777" w:rsidR="007A1E1D" w:rsidRPr="00181084" w:rsidRDefault="007A1E1D" w:rsidP="00181084">
            <w:pPr>
              <w:pStyle w:val="Corpsdetexte"/>
              <w:jc w:val="left"/>
              <w:rPr>
                <w:rFonts w:asciiTheme="minorHAnsi" w:eastAsia="Calibri" w:hAnsiTheme="minorHAnsi"/>
                <w:b/>
                <w:sz w:val="18"/>
                <w:szCs w:val="18"/>
              </w:rPr>
            </w:pPr>
            <w:r w:rsidRPr="00181084">
              <w:rPr>
                <w:rFonts w:asciiTheme="minorHAnsi" w:eastAsia="Calibri" w:hAnsiTheme="minorHAnsi"/>
                <w:b/>
                <w:sz w:val="18"/>
                <w:szCs w:val="18"/>
              </w:rPr>
              <w:t xml:space="preserve">Mammographie  (probabilité de recours population générale 80%) </w:t>
            </w:r>
          </w:p>
        </w:tc>
        <w:tc>
          <w:tcPr>
            <w:tcW w:w="3071" w:type="dxa"/>
            <w:shd w:val="clear" w:color="auto" w:fill="D6E3BC" w:themeFill="accent3" w:themeFillTint="66"/>
          </w:tcPr>
          <w:p w14:paraId="7193BF78"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1 (variables démogr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phiques + besoins de soins) </w:t>
            </w:r>
          </w:p>
        </w:tc>
        <w:tc>
          <w:tcPr>
            <w:tcW w:w="3071" w:type="dxa"/>
            <w:shd w:val="clear" w:color="auto" w:fill="D6E3BC" w:themeFill="accent3" w:themeFillTint="66"/>
          </w:tcPr>
          <w:p w14:paraId="4C2548B1"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 xml:space="preserve">Modèle 2 (Modèle 1 + variables sociales) </w:t>
            </w:r>
          </w:p>
        </w:tc>
      </w:tr>
      <w:tr w:rsidR="007A1E1D" w:rsidRPr="00181084" w14:paraId="1A636E77"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5938914D"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AAH (référence : pas de reconnai</w:t>
            </w:r>
            <w:r w:rsidRPr="00181084">
              <w:rPr>
                <w:rFonts w:asciiTheme="minorHAnsi" w:eastAsia="Calibri" w:hAnsiTheme="minorHAnsi"/>
                <w:sz w:val="18"/>
                <w:szCs w:val="18"/>
              </w:rPr>
              <w:t>s</w:t>
            </w:r>
            <w:r w:rsidRPr="00181084">
              <w:rPr>
                <w:rFonts w:asciiTheme="minorHAnsi" w:eastAsia="Calibri" w:hAnsiTheme="minorHAnsi"/>
                <w:sz w:val="18"/>
                <w:szCs w:val="18"/>
              </w:rPr>
              <w:t xml:space="preserve">sance administrative) </w:t>
            </w:r>
          </w:p>
        </w:tc>
        <w:tc>
          <w:tcPr>
            <w:tcW w:w="3071" w:type="dxa"/>
            <w:shd w:val="clear" w:color="auto" w:fill="C4BC96" w:themeFill="background2" w:themeFillShade="BF"/>
          </w:tcPr>
          <w:p w14:paraId="6A2B09C4"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-0.0925**</w:t>
            </w:r>
          </w:p>
        </w:tc>
        <w:tc>
          <w:tcPr>
            <w:tcW w:w="3071" w:type="dxa"/>
            <w:shd w:val="clear" w:color="auto" w:fill="auto"/>
          </w:tcPr>
          <w:p w14:paraId="1022996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-0.046</w:t>
            </w:r>
          </w:p>
        </w:tc>
      </w:tr>
      <w:tr w:rsidR="007A1E1D" w:rsidRPr="00181084" w14:paraId="5224FDE9"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73919C9A"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Pension d’invalidité (référence : pas de reconnaissance administrative) </w:t>
            </w:r>
          </w:p>
        </w:tc>
        <w:tc>
          <w:tcPr>
            <w:tcW w:w="3071" w:type="dxa"/>
            <w:shd w:val="clear" w:color="auto" w:fill="auto"/>
          </w:tcPr>
          <w:p w14:paraId="3431A3D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0.016</w:t>
            </w:r>
          </w:p>
        </w:tc>
        <w:tc>
          <w:tcPr>
            <w:tcW w:w="3071" w:type="dxa"/>
            <w:shd w:val="clear" w:color="auto" w:fill="auto"/>
          </w:tcPr>
          <w:p w14:paraId="6F66B46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0.025</w:t>
            </w:r>
          </w:p>
        </w:tc>
      </w:tr>
      <w:tr w:rsidR="007A1E1D" w:rsidRPr="00181084" w14:paraId="5853F438"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702DA996"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Rente d’incapacité (référence : pas de reconnaissance administrative) </w:t>
            </w:r>
          </w:p>
        </w:tc>
        <w:tc>
          <w:tcPr>
            <w:tcW w:w="3071" w:type="dxa"/>
            <w:shd w:val="clear" w:color="auto" w:fill="auto"/>
          </w:tcPr>
          <w:p w14:paraId="22CFC672"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0.00315</w:t>
            </w:r>
          </w:p>
        </w:tc>
        <w:tc>
          <w:tcPr>
            <w:tcW w:w="3071" w:type="dxa"/>
            <w:shd w:val="clear" w:color="auto" w:fill="auto"/>
          </w:tcPr>
          <w:p w14:paraId="17FCCD12"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-0.0158</w:t>
            </w:r>
          </w:p>
        </w:tc>
      </w:tr>
      <w:tr w:rsidR="007A1E1D" w:rsidRPr="00181084" w14:paraId="11D61278"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27CCE987"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Autres reconnaissances (référence : pas de reconnaissance administr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tive) </w:t>
            </w:r>
          </w:p>
        </w:tc>
        <w:tc>
          <w:tcPr>
            <w:tcW w:w="3071" w:type="dxa"/>
            <w:shd w:val="clear" w:color="auto" w:fill="auto"/>
          </w:tcPr>
          <w:p w14:paraId="7B27AA12"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0.0189</w:t>
            </w:r>
          </w:p>
        </w:tc>
        <w:tc>
          <w:tcPr>
            <w:tcW w:w="3071" w:type="dxa"/>
            <w:shd w:val="clear" w:color="auto" w:fill="auto"/>
          </w:tcPr>
          <w:p w14:paraId="3BB4601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0.0235</w:t>
            </w:r>
          </w:p>
        </w:tc>
      </w:tr>
      <w:tr w:rsidR="007A1E1D" w:rsidRPr="00181084" w14:paraId="38AC4618"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shd w:val="clear" w:color="auto" w:fill="D6E3BC" w:themeFill="accent3" w:themeFillTint="66"/>
          </w:tcPr>
          <w:p w14:paraId="5C8F321A"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b/>
                <w:sz w:val="18"/>
                <w:szCs w:val="18"/>
              </w:rPr>
              <w:t>Dépistage du cancer du côlon (probabilité de recours pop 40%)</w:t>
            </w:r>
          </w:p>
        </w:tc>
        <w:tc>
          <w:tcPr>
            <w:tcW w:w="3071" w:type="dxa"/>
            <w:shd w:val="clear" w:color="auto" w:fill="D6E3BC" w:themeFill="accent3" w:themeFillTint="66"/>
          </w:tcPr>
          <w:p w14:paraId="7C81E53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1 (variables démogr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phiques + besoins de soins) </w:t>
            </w:r>
          </w:p>
        </w:tc>
        <w:tc>
          <w:tcPr>
            <w:tcW w:w="3071" w:type="dxa"/>
            <w:shd w:val="clear" w:color="auto" w:fill="D6E3BC" w:themeFill="accent3" w:themeFillTint="66"/>
          </w:tcPr>
          <w:p w14:paraId="1E442E2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 xml:space="preserve">Modèle 2 (Modèle 1 + variables sociales) </w:t>
            </w:r>
          </w:p>
        </w:tc>
      </w:tr>
      <w:tr w:rsidR="007A1E1D" w:rsidRPr="002E78E3" w14:paraId="4A9A9809"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4409E714"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AAH (référence : pas de reconnai</w:t>
            </w:r>
            <w:r w:rsidRPr="00181084">
              <w:rPr>
                <w:rFonts w:asciiTheme="minorHAnsi" w:eastAsia="Calibri" w:hAnsiTheme="minorHAnsi"/>
                <w:sz w:val="18"/>
                <w:szCs w:val="18"/>
              </w:rPr>
              <w:t>s</w:t>
            </w:r>
            <w:r w:rsidRPr="00181084">
              <w:rPr>
                <w:rFonts w:asciiTheme="minorHAnsi" w:eastAsia="Calibri" w:hAnsiTheme="minorHAnsi"/>
                <w:sz w:val="18"/>
                <w:szCs w:val="18"/>
              </w:rPr>
              <w:t xml:space="preserve">sance administrative) </w:t>
            </w:r>
          </w:p>
        </w:tc>
        <w:tc>
          <w:tcPr>
            <w:tcW w:w="3071" w:type="dxa"/>
            <w:shd w:val="clear" w:color="auto" w:fill="C4BC96" w:themeFill="background2" w:themeFillShade="BF"/>
          </w:tcPr>
          <w:p w14:paraId="4AF2B45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-0.192***</w:t>
            </w:r>
          </w:p>
        </w:tc>
        <w:tc>
          <w:tcPr>
            <w:tcW w:w="3071" w:type="dxa"/>
            <w:shd w:val="clear" w:color="auto" w:fill="C4BC96" w:themeFill="background2" w:themeFillShade="BF"/>
          </w:tcPr>
          <w:p w14:paraId="5BFE6CA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-0.152*</w:t>
            </w:r>
          </w:p>
        </w:tc>
      </w:tr>
      <w:tr w:rsidR="007A1E1D" w:rsidRPr="002E78E3" w14:paraId="2BDF7E73"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27C75D8C"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Pension d’invalidité (référence : pas de reconnaissance administrative) </w:t>
            </w:r>
          </w:p>
        </w:tc>
        <w:tc>
          <w:tcPr>
            <w:tcW w:w="3071" w:type="dxa"/>
            <w:shd w:val="clear" w:color="auto" w:fill="auto"/>
          </w:tcPr>
          <w:p w14:paraId="265C9A41"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-0.045</w:t>
            </w:r>
          </w:p>
        </w:tc>
        <w:tc>
          <w:tcPr>
            <w:tcW w:w="3071" w:type="dxa"/>
            <w:shd w:val="clear" w:color="auto" w:fill="auto"/>
          </w:tcPr>
          <w:p w14:paraId="499673A6"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-0.0281</w:t>
            </w:r>
          </w:p>
        </w:tc>
      </w:tr>
      <w:tr w:rsidR="007A1E1D" w:rsidRPr="002E78E3" w14:paraId="1F4457A0"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3802BEC5"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Rente d’incapacité (référence : pas de reconnaissance administrative) </w:t>
            </w:r>
          </w:p>
        </w:tc>
        <w:tc>
          <w:tcPr>
            <w:tcW w:w="3071" w:type="dxa"/>
            <w:shd w:val="clear" w:color="auto" w:fill="auto"/>
          </w:tcPr>
          <w:p w14:paraId="5C5D5FD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-0.124</w:t>
            </w:r>
          </w:p>
        </w:tc>
        <w:tc>
          <w:tcPr>
            <w:tcW w:w="3071" w:type="dxa"/>
            <w:shd w:val="clear" w:color="auto" w:fill="auto"/>
          </w:tcPr>
          <w:p w14:paraId="05336207"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-0.157</w:t>
            </w:r>
          </w:p>
        </w:tc>
      </w:tr>
      <w:tr w:rsidR="007A1E1D" w:rsidRPr="002E78E3" w14:paraId="0E5EE3FA"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1BE247A1"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Autres reconnaissances (référence : pas de reconnaissance administr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tive) </w:t>
            </w:r>
          </w:p>
        </w:tc>
        <w:tc>
          <w:tcPr>
            <w:tcW w:w="3071" w:type="dxa"/>
            <w:shd w:val="clear" w:color="auto" w:fill="auto"/>
          </w:tcPr>
          <w:p w14:paraId="52E2AF4C"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0.0513</w:t>
            </w:r>
          </w:p>
        </w:tc>
        <w:tc>
          <w:tcPr>
            <w:tcW w:w="3071" w:type="dxa"/>
            <w:shd w:val="clear" w:color="auto" w:fill="auto"/>
          </w:tcPr>
          <w:p w14:paraId="5D6BDF35"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0.0651</w:t>
            </w:r>
          </w:p>
        </w:tc>
      </w:tr>
      <w:tr w:rsidR="007A1E1D" w:rsidRPr="002E78E3" w14:paraId="1F1BE00A" w14:textId="77777777" w:rsidTr="00181084">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shd w:val="clear" w:color="auto" w:fill="D6E3BC" w:themeFill="accent3" w:themeFillTint="66"/>
          </w:tcPr>
          <w:p w14:paraId="695C9AA0"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b/>
                <w:sz w:val="18"/>
                <w:szCs w:val="18"/>
              </w:rPr>
              <w:t>Vaccination contre l’hépatite B (probabilité de recours pop 45%)</w:t>
            </w:r>
          </w:p>
        </w:tc>
        <w:tc>
          <w:tcPr>
            <w:tcW w:w="3071" w:type="dxa"/>
            <w:shd w:val="clear" w:color="auto" w:fill="D6E3BC" w:themeFill="accent3" w:themeFillTint="66"/>
          </w:tcPr>
          <w:p w14:paraId="20A4DDCB"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Modèle 1 (variables démogr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phiques + besoins de soins) </w:t>
            </w:r>
          </w:p>
        </w:tc>
        <w:tc>
          <w:tcPr>
            <w:tcW w:w="3071" w:type="dxa"/>
            <w:shd w:val="clear" w:color="auto" w:fill="D6E3BC" w:themeFill="accent3" w:themeFillTint="66"/>
          </w:tcPr>
          <w:p w14:paraId="6FDD7D46"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 xml:space="preserve">Modèle 2 (Modèle 1 + variables sociales) </w:t>
            </w:r>
          </w:p>
        </w:tc>
      </w:tr>
      <w:tr w:rsidR="007A1E1D" w:rsidRPr="002E78E3" w14:paraId="51290EB0"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0B6EB1FC"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AAH (référence : pas de reconnai</w:t>
            </w:r>
            <w:r w:rsidRPr="00181084">
              <w:rPr>
                <w:rFonts w:asciiTheme="minorHAnsi" w:eastAsia="Calibri" w:hAnsiTheme="minorHAnsi"/>
                <w:sz w:val="18"/>
                <w:szCs w:val="18"/>
              </w:rPr>
              <w:t>s</w:t>
            </w:r>
            <w:r w:rsidRPr="00181084">
              <w:rPr>
                <w:rFonts w:asciiTheme="minorHAnsi" w:eastAsia="Calibri" w:hAnsiTheme="minorHAnsi"/>
                <w:sz w:val="18"/>
                <w:szCs w:val="18"/>
              </w:rPr>
              <w:t xml:space="preserve">sance administrative) </w:t>
            </w:r>
          </w:p>
        </w:tc>
        <w:tc>
          <w:tcPr>
            <w:tcW w:w="3071" w:type="dxa"/>
            <w:shd w:val="clear" w:color="auto" w:fill="C4BC96" w:themeFill="background2" w:themeFillShade="BF"/>
          </w:tcPr>
          <w:p w14:paraId="30AEB59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-0.0915***</w:t>
            </w:r>
          </w:p>
        </w:tc>
        <w:tc>
          <w:tcPr>
            <w:tcW w:w="3071" w:type="dxa"/>
            <w:shd w:val="clear" w:color="auto" w:fill="C4BC96" w:themeFill="background2" w:themeFillShade="BF"/>
          </w:tcPr>
          <w:p w14:paraId="397824D0"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18"/>
                <w:szCs w:val="18"/>
              </w:rPr>
            </w:pPr>
            <w:r w:rsidRPr="00181084">
              <w:rPr>
                <w:rFonts w:asciiTheme="minorHAnsi" w:eastAsia="Calibri" w:hAnsiTheme="minorHAnsi"/>
                <w:b/>
                <w:sz w:val="18"/>
                <w:szCs w:val="18"/>
              </w:rPr>
              <w:t>-0.0874***</w:t>
            </w:r>
          </w:p>
        </w:tc>
      </w:tr>
      <w:tr w:rsidR="007A1E1D" w:rsidRPr="002E78E3" w14:paraId="40A22F06"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2F254896"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Pension d’invalidité (référence : pas de reconnaissance administrative) </w:t>
            </w:r>
          </w:p>
        </w:tc>
        <w:tc>
          <w:tcPr>
            <w:tcW w:w="3071" w:type="dxa"/>
            <w:shd w:val="clear" w:color="auto" w:fill="auto"/>
          </w:tcPr>
          <w:p w14:paraId="445E6361"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-0.0125</w:t>
            </w:r>
          </w:p>
        </w:tc>
        <w:tc>
          <w:tcPr>
            <w:tcW w:w="3071" w:type="dxa"/>
            <w:shd w:val="clear" w:color="auto" w:fill="auto"/>
          </w:tcPr>
          <w:p w14:paraId="7417659D"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-0.0172</w:t>
            </w:r>
          </w:p>
        </w:tc>
      </w:tr>
      <w:tr w:rsidR="007A1E1D" w:rsidRPr="002E78E3" w14:paraId="583D491C"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28F2BDBE"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 xml:space="preserve">Rente d’incapacité (référence : pas de reconnaissance administrative) </w:t>
            </w:r>
          </w:p>
        </w:tc>
        <w:tc>
          <w:tcPr>
            <w:tcW w:w="3071" w:type="dxa"/>
            <w:shd w:val="clear" w:color="auto" w:fill="auto"/>
          </w:tcPr>
          <w:p w14:paraId="0365DD39"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-0.0124</w:t>
            </w:r>
          </w:p>
        </w:tc>
        <w:tc>
          <w:tcPr>
            <w:tcW w:w="3071" w:type="dxa"/>
            <w:shd w:val="clear" w:color="auto" w:fill="auto"/>
          </w:tcPr>
          <w:p w14:paraId="75E473D9"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-0.0122</w:t>
            </w:r>
          </w:p>
        </w:tc>
      </w:tr>
      <w:tr w:rsidR="007A1E1D" w:rsidRPr="002E78E3" w14:paraId="2F1631BB" w14:textId="77777777" w:rsidTr="0018315F">
        <w:trPr>
          <w:trHeight w:hRule="exact" w:val="567"/>
        </w:trPr>
        <w:tc>
          <w:tcPr>
            <w:cnfStyle w:val="001000000000" w:firstRow="0" w:lastRow="0" w:firstColumn="1" w:lastColumn="0" w:oddVBand="0" w:evenVBand="0" w:oddHBand="0" w:evenHBand="0" w:firstRowFirstColumn="0" w:firstRowLastColumn="0" w:lastRowFirstColumn="0" w:lastRowLastColumn="0"/>
            <w:tcW w:w="3070" w:type="dxa"/>
          </w:tcPr>
          <w:p w14:paraId="422AABFC" w14:textId="77777777" w:rsidR="007A1E1D" w:rsidRPr="00181084" w:rsidRDefault="007A1E1D" w:rsidP="00181084">
            <w:pPr>
              <w:pStyle w:val="Corpsdetexte"/>
              <w:jc w:val="left"/>
              <w:rPr>
                <w:rFonts w:asciiTheme="minorHAnsi" w:eastAsia="Calibri" w:hAnsiTheme="minorHAnsi"/>
                <w:sz w:val="18"/>
                <w:szCs w:val="18"/>
              </w:rPr>
            </w:pPr>
            <w:r w:rsidRPr="00181084">
              <w:rPr>
                <w:rFonts w:asciiTheme="minorHAnsi" w:eastAsia="Calibri" w:hAnsiTheme="minorHAnsi"/>
                <w:sz w:val="18"/>
                <w:szCs w:val="18"/>
              </w:rPr>
              <w:t>Autres reconnaissances (référence : pas de reconnaissance administr</w:t>
            </w:r>
            <w:r w:rsidRPr="00181084">
              <w:rPr>
                <w:rFonts w:asciiTheme="minorHAnsi" w:eastAsia="Calibri" w:hAnsiTheme="minorHAnsi"/>
                <w:sz w:val="18"/>
                <w:szCs w:val="18"/>
              </w:rPr>
              <w:t>a</w:t>
            </w:r>
            <w:r w:rsidRPr="00181084">
              <w:rPr>
                <w:rFonts w:asciiTheme="minorHAnsi" w:eastAsia="Calibri" w:hAnsiTheme="minorHAnsi"/>
                <w:sz w:val="18"/>
                <w:szCs w:val="18"/>
              </w:rPr>
              <w:t xml:space="preserve">tive) </w:t>
            </w:r>
          </w:p>
        </w:tc>
        <w:tc>
          <w:tcPr>
            <w:tcW w:w="3071" w:type="dxa"/>
            <w:shd w:val="clear" w:color="auto" w:fill="auto"/>
          </w:tcPr>
          <w:p w14:paraId="7A14C333"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0.0166</w:t>
            </w:r>
          </w:p>
        </w:tc>
        <w:tc>
          <w:tcPr>
            <w:tcW w:w="3071" w:type="dxa"/>
            <w:shd w:val="clear" w:color="auto" w:fill="auto"/>
          </w:tcPr>
          <w:p w14:paraId="099187DF" w14:textId="77777777" w:rsidR="007A1E1D" w:rsidRPr="00181084" w:rsidRDefault="007A1E1D" w:rsidP="00181084">
            <w:pPr>
              <w:pStyle w:val="Corpsdetexte"/>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rPr>
            </w:pPr>
            <w:r w:rsidRPr="00181084">
              <w:rPr>
                <w:rFonts w:asciiTheme="minorHAnsi" w:eastAsia="Calibri" w:hAnsiTheme="minorHAnsi"/>
                <w:sz w:val="18"/>
                <w:szCs w:val="18"/>
              </w:rPr>
              <w:t>0.0172</w:t>
            </w:r>
          </w:p>
        </w:tc>
      </w:tr>
    </w:tbl>
    <w:p w14:paraId="017EA3DC" w14:textId="77777777" w:rsidR="009B697F" w:rsidRPr="007A1E1D" w:rsidRDefault="009B697F" w:rsidP="007A1E1D">
      <w:pPr>
        <w:pStyle w:val="Corpsdetexte"/>
        <w:rPr>
          <w:b/>
        </w:rPr>
      </w:pPr>
    </w:p>
    <w:p w14:paraId="7260E8FD" w14:textId="77777777" w:rsidR="0075351A" w:rsidRPr="0075351A" w:rsidRDefault="00160C5D" w:rsidP="0075351A">
      <w:pPr>
        <w:pStyle w:val="Corpsdetexte"/>
      </w:pPr>
      <w:r w:rsidRPr="00160C5D">
        <w:br w:type="page"/>
      </w:r>
    </w:p>
    <w:p w14:paraId="0AD7295A" w14:textId="77777777" w:rsidR="009B697F" w:rsidRDefault="009B697F" w:rsidP="00CD557F">
      <w:pPr>
        <w:pStyle w:val="Titre2Annexes"/>
        <w:ind w:left="0"/>
      </w:pPr>
      <w:bookmarkStart w:id="521" w:name="_Toc523327722"/>
      <w:r w:rsidRPr="009B697F">
        <w:lastRenderedPageBreak/>
        <w:t>Les dispositifs d’accès à la santé des personnes en situation de précarité et des personnes en situation de handicap</w:t>
      </w:r>
      <w:bookmarkEnd w:id="521"/>
    </w:p>
    <w:p w14:paraId="7B5A0EE0" w14:textId="77777777" w:rsidR="009B697F" w:rsidRPr="009B697F" w:rsidRDefault="009B697F" w:rsidP="003555DB">
      <w:pPr>
        <w:pStyle w:val="Titre6"/>
        <w:numPr>
          <w:ilvl w:val="5"/>
          <w:numId w:val="15"/>
        </w:numPr>
      </w:pPr>
      <w:r w:rsidRPr="009B697F">
        <w:t>Les dispositifs d’accès aux soins à destination des personnes en situation de pauvreté</w:t>
      </w:r>
    </w:p>
    <w:p w14:paraId="48F99585" w14:textId="21CCD6AA" w:rsidR="009B697F" w:rsidRPr="009B697F" w:rsidRDefault="009B697F" w:rsidP="009B697F">
      <w:pPr>
        <w:pStyle w:val="Corpsdetexte"/>
      </w:pPr>
      <w:r w:rsidRPr="009B697F">
        <w:t xml:space="preserve">Aujourd’hui, les personnes en situation de précarité </w:t>
      </w:r>
      <w:r w:rsidR="00944373">
        <w:t xml:space="preserve">et régulière vis-à-vis du droit au séjour </w:t>
      </w:r>
      <w:r w:rsidRPr="009B697F">
        <w:t>se voient proposer plusieurs dispositifs de prise en charge des soins</w:t>
      </w:r>
      <w:r>
        <w:t xml:space="preserve"> de santé selon leur situation.</w:t>
      </w:r>
    </w:p>
    <w:p w14:paraId="29E9E9C2" w14:textId="6E6C402B" w:rsidR="009B697F" w:rsidRPr="009B697F" w:rsidRDefault="009B697F" w:rsidP="009B697F">
      <w:pPr>
        <w:pStyle w:val="Corpsdetexte"/>
      </w:pPr>
      <w:r w:rsidRPr="009B697F">
        <w:t>L’assurance maladie correspondant au régime de base de la sécurité sociale est accessible aux Français ou étra</w:t>
      </w:r>
      <w:r w:rsidRPr="009B697F">
        <w:t>n</w:t>
      </w:r>
      <w:r w:rsidRPr="009B697F">
        <w:t>gers résidant en France de façon stable et régulière</w:t>
      </w:r>
      <w:r w:rsidR="00CF3515">
        <w:t>,</w:t>
      </w:r>
      <w:r w:rsidRPr="009B697F">
        <w:t xml:space="preserve"> quel que soit leur statut professionnel. Les personnes les plus pauvres y ont accès sa</w:t>
      </w:r>
      <w:r>
        <w:t>ns avoir à payer de cotisation.</w:t>
      </w:r>
    </w:p>
    <w:p w14:paraId="0DB9742C" w14:textId="1D2BD90C" w:rsidR="009B697F" w:rsidRPr="009B697F" w:rsidRDefault="009B697F" w:rsidP="009B697F">
      <w:pPr>
        <w:pStyle w:val="Corpsdetexte"/>
      </w:pPr>
      <w:r w:rsidRPr="009B697F">
        <w:t>Concernant la couverture complémentaire, les assurés dont les ressources sont inférieures au seuil de pauvreté peuvent bénéficier soit de la CMU-C, soit de l’ACS. Ceux dont les ressources sont les plus faibles, inférieures à 734 </w:t>
      </w:r>
      <w:r w:rsidR="009C3ADC">
        <w:t>euros</w:t>
      </w:r>
      <w:r w:rsidRPr="009B697F">
        <w:t xml:space="preserve"> par mois pour une personne seule en métropole, peuvent bénéficier à titre gratuit de la CMU-C. Les personnes dont les ressources sont comprises entre le plafond d’attribution de la CMU</w:t>
      </w:r>
      <w:r w:rsidRPr="009B697F">
        <w:noBreakHyphen/>
        <w:t>C et 35% de ce plafond peuvent obtenir une complémentaire santé grâce à l’ACS. Cette aide, modulée en fonction de l’âge de la personne, est à utiliser sur des contrats de complémentaire santé sélectionnés par l’État pour leur bon rapport qualité</w:t>
      </w:r>
      <w:r w:rsidR="00CF3515">
        <w:t xml:space="preserve"> </w:t>
      </w:r>
      <w:r w:rsidRPr="009B697F">
        <w:t>/</w:t>
      </w:r>
      <w:r w:rsidR="00CF3515">
        <w:t xml:space="preserve"> </w:t>
      </w:r>
      <w:r w:rsidRPr="009B697F">
        <w:t>prix (trois niveaux de garantie) et donne lieu à une réduction sur le c</w:t>
      </w:r>
      <w:r>
        <w:t>oût de la complémentaire santé.</w:t>
      </w:r>
    </w:p>
    <w:p w14:paraId="1EAA7468" w14:textId="71C4A8A4" w:rsidR="009B697F" w:rsidRPr="009B697F" w:rsidRDefault="009B697F" w:rsidP="009B697F">
      <w:pPr>
        <w:pStyle w:val="Lgende"/>
        <w:rPr>
          <w:b/>
          <w:bCs/>
        </w:rPr>
      </w:pPr>
      <w:r>
        <w:lastRenderedPageBreak/>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2</w:t>
      </w:r>
      <w:r w:rsidR="00AF653A">
        <w:rPr>
          <w:noProof/>
        </w:rPr>
        <w:fldChar w:fldCharType="end"/>
      </w:r>
      <w:r w:rsidR="001F54BF">
        <w:t xml:space="preserve"> – </w:t>
      </w:r>
      <w:r w:rsidRPr="009B697F">
        <w:rPr>
          <w:bCs/>
        </w:rPr>
        <w:t>Présentation synthétique de la CMU-C et de l’ACS</w:t>
      </w:r>
    </w:p>
    <w:p w14:paraId="0C408B02" w14:textId="77777777" w:rsidR="009B697F" w:rsidRPr="009B697F" w:rsidRDefault="009B697F" w:rsidP="009B697F">
      <w:pPr>
        <w:pStyle w:val="Corpsdetexte"/>
      </w:pPr>
      <w:r w:rsidRPr="009B697F">
        <w:rPr>
          <w:noProof/>
          <w:lang w:eastAsia="fr-FR"/>
        </w:rPr>
        <w:drawing>
          <wp:inline distT="0" distB="0" distL="0" distR="0" wp14:anchorId="0788CE24" wp14:editId="2658F5F9">
            <wp:extent cx="4831958" cy="4914900"/>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6008" cy="4919020"/>
                    </a:xfrm>
                    <a:prstGeom prst="rect">
                      <a:avLst/>
                    </a:prstGeom>
                    <a:noFill/>
                    <a:ln>
                      <a:noFill/>
                    </a:ln>
                  </pic:spPr>
                </pic:pic>
              </a:graphicData>
            </a:graphic>
          </wp:inline>
        </w:drawing>
      </w:r>
    </w:p>
    <w:p w14:paraId="23217B4F" w14:textId="77777777" w:rsidR="009B697F" w:rsidRPr="009B697F" w:rsidRDefault="009B697F" w:rsidP="009B697F">
      <w:pPr>
        <w:pStyle w:val="Titre6"/>
      </w:pPr>
      <w:r w:rsidRPr="009B697F">
        <w:t>Des niveaux de protection différents en termes de reste à charge</w:t>
      </w:r>
    </w:p>
    <w:p w14:paraId="56844649" w14:textId="363252BD" w:rsidR="009B697F" w:rsidRPr="009B697F" w:rsidRDefault="009B697F" w:rsidP="009B697F">
      <w:pPr>
        <w:pStyle w:val="Corpsdetexte"/>
      </w:pPr>
      <w:r w:rsidRPr="009B697F">
        <w:t>Les bénéficiaires de la CMU-C et de l’ACS ont un droit à la dispense d’avance des frais et les médecins ne peuvent pas leur appliquer de dépassements d’honoraires. À l’hôpital, le forfait hospitalier est intégralement pris en charge. Les avantages associés à ces deux dispositifs sont assez proches, néanmoins, les dépenses de santé restant à la charge des bénéficiaires varient de manière importante, laissant en particulier des restes à charge importants aux titulaires de l’ACS pour les dispositifs médicaux (optique, audioprothèses et prothèses dentaires et certains</w:t>
      </w:r>
      <w:r w:rsidR="001F54BF">
        <w:t xml:space="preserve"> autres dispositifs médicaux)</w:t>
      </w:r>
      <w:r w:rsidR="00E53A70">
        <w:t>.</w:t>
      </w:r>
    </w:p>
    <w:p w14:paraId="2B894E64" w14:textId="510FB22C" w:rsidR="009B697F" w:rsidRPr="009B697F" w:rsidRDefault="009B697F" w:rsidP="009B697F">
      <w:pPr>
        <w:pStyle w:val="Corpsdetexte"/>
      </w:pPr>
      <w:r w:rsidRPr="009B697F">
        <w:t>Pour le dentaire, les soins conservateurs ne peuvent</w:t>
      </w:r>
      <w:r w:rsidR="00E53A70">
        <w:t xml:space="preserve"> pas</w:t>
      </w:r>
      <w:r w:rsidRPr="009B697F">
        <w:t xml:space="preserve"> faire l’objet de dépassement par rapport au tarif de re</w:t>
      </w:r>
      <w:r w:rsidRPr="009B697F">
        <w:t>s</w:t>
      </w:r>
      <w:r w:rsidRPr="009B697F">
        <w:t>ponsabilité de sécurité sociale. Concernant les soins prophétiques dentaires pour lesquels les dépassements sont autorisés, les chirurgiens-dentistes doivent appliquer des montants qui n’excèdent pas les tarifs plafonds définis dans les arrêtés du 19 avril 2017 (JORF n°0097 du 25 avril 2017) pour les bénéficiaires de la CMU-C et de l’ACS. Ces dépassements sont entièrement pris en charge par la CMU-C. Les bénéficiaires ACS peuvent avoir des restes à charge en fonction du niveau de couverture qu’ils ont choisi.</w:t>
      </w:r>
    </w:p>
    <w:p w14:paraId="4D910D12" w14:textId="77777777" w:rsidR="009B697F" w:rsidRPr="009B697F" w:rsidRDefault="009B697F" w:rsidP="009B697F">
      <w:pPr>
        <w:pStyle w:val="Corpsdetexte"/>
      </w:pPr>
    </w:p>
    <w:p w14:paraId="50AF54F6" w14:textId="439CEB09" w:rsidR="009B697F" w:rsidRPr="009B697F" w:rsidRDefault="009B697F" w:rsidP="009B697F">
      <w:pPr>
        <w:pStyle w:val="Corpsdetexte"/>
      </w:pPr>
      <w:r w:rsidRPr="009B697F">
        <w:lastRenderedPageBreak/>
        <w:t>Pour l’optique, la CMU-C offre la prise en charge d’une paire de lunettes par année de droit, dans la limite des tarifs fixés par arrêté. Les bénéficiaires de l’ACS peuvent se voir rembourser une paire de lunette tous les deux ans (conformément à la prise en charge définie pour les contrats responsables) mais il n’existe pas de tarifs plafonds. Des restes à charge sont observés en optique, pouvant aller jusqu’à plus de 200</w:t>
      </w:r>
      <w:r w:rsidR="009C3ADC">
        <w:t xml:space="preserve"> euros</w:t>
      </w:r>
      <w:r w:rsidRPr="009B697F">
        <w:t xml:space="preserve"> pour un </w:t>
      </w:r>
      <w:r w:rsidR="001F54BF">
        <w:t>équipement en verres complexes.</w:t>
      </w:r>
    </w:p>
    <w:p w14:paraId="715B5102" w14:textId="75F191F5" w:rsidR="009B697F" w:rsidRPr="009B697F" w:rsidRDefault="009B697F" w:rsidP="009B697F">
      <w:pPr>
        <w:pStyle w:val="Corpsdetexte"/>
      </w:pPr>
      <w:r w:rsidRPr="009B697F">
        <w:t>Pour les audioprothèses, les modalités de prise en charge sont similaires. Les professionnels sont tenus de prop</w:t>
      </w:r>
      <w:r w:rsidRPr="009B697F">
        <w:t>o</w:t>
      </w:r>
      <w:r w:rsidRPr="009B697F">
        <w:t>ser aux bénéficiaires de la CMU-C des appareils dont le prix n’excède pas les limites de tarif fixées pour la CMU-C. Les tarifs des audioprothèses sont libres pour les bénéficiaires de l’ACS qui peuvent avoir des restes à charge très importa</w:t>
      </w:r>
      <w:r w:rsidR="001F54BF">
        <w:t xml:space="preserve">nts selon le contrat souscrit. </w:t>
      </w:r>
    </w:p>
    <w:p w14:paraId="573FAC4A" w14:textId="00942CD3" w:rsidR="009B697F" w:rsidRPr="009B697F" w:rsidRDefault="009B697F" w:rsidP="009B697F">
      <w:pPr>
        <w:pStyle w:val="Corpsdetexte"/>
      </w:pPr>
      <w:r w:rsidRPr="009B697F">
        <w:t>Pour les autres dispositifs médicaux, une majorité est soumise à un PLV pour l’ensemble de la population, ce qui permet de contenir les restes à charge. Cependant pour les dispositifs médicaux sans PLV (ou avec PLV supérieur au tarif de responsabilité de la sécurité sociale), les personnes en situation de précarité peuvent avoir des restes à charge, compte tenu du remboursement à hauteur de 100% du tarif de responsabilité pour la CMU-C</w:t>
      </w:r>
      <w:r w:rsidR="00E53A70">
        <w:t xml:space="preserve"> et</w:t>
      </w:r>
      <w:r w:rsidRPr="009B697F">
        <w:t xml:space="preserve"> </w:t>
      </w:r>
      <w:r w:rsidR="00BE491A" w:rsidRPr="009B697F">
        <w:t xml:space="preserve">l’ACS. </w:t>
      </w:r>
      <w:r w:rsidRPr="009B697F">
        <w:t xml:space="preserve">Pour la CMU-C, plusieurs appareillages sans PLV sont soumis cependant à des prix maximums fixés dans l’arrêté du 14 août 2002 et n’engendrent normalement pas de reste à charge. </w:t>
      </w:r>
    </w:p>
    <w:p w14:paraId="40C188BF" w14:textId="4F88431D" w:rsidR="009B697F" w:rsidRPr="009B697F" w:rsidRDefault="009B697F" w:rsidP="009B697F">
      <w:pPr>
        <w:pStyle w:val="Corpsdetexte"/>
      </w:pPr>
      <w:r w:rsidRPr="009B697F">
        <w:t>Les travaux présentés en annexe montrent que des dispositifs médicaux fortement consommés par les bénéf</w:t>
      </w:r>
      <w:r w:rsidRPr="009B697F">
        <w:t>i</w:t>
      </w:r>
      <w:r w:rsidRPr="009B697F">
        <w:t>ciaires de la CMU-C, de l’ACS ou de l’AAH (qu’ils soient titulaires ou non de la CMU-C ou de l’ACS) génèrent des restes à cha</w:t>
      </w:r>
      <w:r w:rsidR="001F54BF">
        <w:t>rge significatifs (cf. infra).</w:t>
      </w:r>
    </w:p>
    <w:p w14:paraId="5BA7D682" w14:textId="77777777" w:rsidR="009B697F" w:rsidRPr="009B697F" w:rsidRDefault="009B697F" w:rsidP="009B697F">
      <w:pPr>
        <w:pStyle w:val="Corpsdetexte"/>
      </w:pPr>
      <w:r w:rsidRPr="009B697F">
        <w:t>Ainsi en termes de reste à charge, outre le montant à payer sur le prix du contrat, les bénéficiaires de l’ACS sont moins bien protégés que les bénéficiaires de la CMU-C. Ils contribuent à leurs dépenses de santé, avec une partic</w:t>
      </w:r>
      <w:r w:rsidRPr="009B697F">
        <w:t>i</w:t>
      </w:r>
      <w:r w:rsidRPr="009B697F">
        <w:t>pation financière quasiment équivalente à celle de la population générale</w:t>
      </w:r>
      <w:r w:rsidRPr="009B697F">
        <w:rPr>
          <w:vertAlign w:val="superscript"/>
        </w:rPr>
        <w:footnoteReference w:id="68"/>
      </w:r>
      <w:r w:rsidRPr="009B697F">
        <w:t xml:space="preserve"> alors que les soins des personnes couvertes par la CMU-C sont presqu</w:t>
      </w:r>
      <w:r w:rsidR="001F54BF">
        <w:t>e intégralement pris en charge.</w:t>
      </w:r>
    </w:p>
    <w:p w14:paraId="50DD323C" w14:textId="06B87F53" w:rsidR="009B697F" w:rsidRPr="009B697F" w:rsidRDefault="001F54BF" w:rsidP="001F54BF">
      <w:pPr>
        <w:pStyle w:val="Lgende"/>
      </w:pPr>
      <w:r>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3</w:t>
      </w:r>
      <w:r w:rsidR="00AF653A">
        <w:rPr>
          <w:noProof/>
        </w:rPr>
        <w:fldChar w:fldCharType="end"/>
      </w:r>
      <w:r>
        <w:t xml:space="preserve"> </w:t>
      </w:r>
      <w:r w:rsidR="00E53A70">
        <w:t>-</w:t>
      </w:r>
      <w:r>
        <w:t xml:space="preserve"> </w:t>
      </w:r>
      <w:r w:rsidRPr="001F54BF">
        <w:t xml:space="preserve">Contrat ACS : Taux de couverture de la dépense totale par les remboursements </w:t>
      </w:r>
      <w:r w:rsidR="00E53A70">
        <w:t>de l’assurance maladie obligatoire et de l’assurance maladie complémentaire</w:t>
      </w:r>
      <w:r w:rsidRPr="001F54BF">
        <w:t xml:space="preserve"> sur les sous-postes des soins partie</w:t>
      </w:r>
      <w:r w:rsidRPr="001F54BF">
        <w:t>l</w:t>
      </w:r>
      <w:r w:rsidRPr="001F54BF">
        <w:t>lement couverts</w:t>
      </w:r>
    </w:p>
    <w:p w14:paraId="50DD0F0C" w14:textId="77777777" w:rsidR="009B697F" w:rsidRPr="009B697F" w:rsidRDefault="009B697F" w:rsidP="009B697F">
      <w:pPr>
        <w:pStyle w:val="Corpsdetexte"/>
        <w:rPr>
          <w:u w:val="single"/>
        </w:rPr>
      </w:pPr>
      <w:r w:rsidRPr="009B697F">
        <w:rPr>
          <w:u w:val="single"/>
        </w:rPr>
        <w:t xml:space="preserve">Contrat A : </w:t>
      </w:r>
    </w:p>
    <w:p w14:paraId="4B9724BD" w14:textId="77777777" w:rsidR="009B697F" w:rsidRPr="009B697F" w:rsidRDefault="009B697F" w:rsidP="009B697F">
      <w:pPr>
        <w:pStyle w:val="Corpsdetexte"/>
      </w:pPr>
      <w:r w:rsidRPr="009B697F">
        <w:t xml:space="preserve"> </w:t>
      </w:r>
      <w:r w:rsidRPr="009B697F">
        <w:rPr>
          <w:noProof/>
          <w:lang w:eastAsia="fr-FR"/>
        </w:rPr>
        <w:drawing>
          <wp:inline distT="0" distB="0" distL="0" distR="0" wp14:anchorId="3DE12274" wp14:editId="3E2B9D44">
            <wp:extent cx="3371353" cy="1560363"/>
            <wp:effectExtent l="0" t="0" r="635" b="190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7943" cy="1563413"/>
                    </a:xfrm>
                    <a:prstGeom prst="rect">
                      <a:avLst/>
                    </a:prstGeom>
                    <a:noFill/>
                    <a:ln>
                      <a:noFill/>
                    </a:ln>
                  </pic:spPr>
                </pic:pic>
              </a:graphicData>
            </a:graphic>
          </wp:inline>
        </w:drawing>
      </w:r>
    </w:p>
    <w:p w14:paraId="0069374A" w14:textId="77777777" w:rsidR="009B697F" w:rsidRPr="009B697F" w:rsidRDefault="009B697F" w:rsidP="009B697F">
      <w:pPr>
        <w:pStyle w:val="Corpsdetexte"/>
        <w:rPr>
          <w:u w:val="single"/>
        </w:rPr>
      </w:pPr>
      <w:r w:rsidRPr="009B697F">
        <w:rPr>
          <w:u w:val="single"/>
        </w:rPr>
        <w:t xml:space="preserve">Contrat B : </w:t>
      </w:r>
    </w:p>
    <w:p w14:paraId="00C1D0D4" w14:textId="77777777" w:rsidR="009B697F" w:rsidRPr="009B697F" w:rsidRDefault="009B697F" w:rsidP="009B697F">
      <w:pPr>
        <w:pStyle w:val="Corpsdetexte"/>
      </w:pPr>
      <w:r w:rsidRPr="009B697F">
        <w:rPr>
          <w:noProof/>
          <w:lang w:eastAsia="fr-FR"/>
        </w:rPr>
        <w:drawing>
          <wp:inline distT="0" distB="0" distL="0" distR="0" wp14:anchorId="1DD5D873" wp14:editId="76AB1B4A">
            <wp:extent cx="3705308" cy="1424466"/>
            <wp:effectExtent l="0" t="0" r="0" b="444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953"/>
                    <a:stretch/>
                  </pic:blipFill>
                  <pic:spPr bwMode="auto">
                    <a:xfrm>
                      <a:off x="0" y="0"/>
                      <a:ext cx="3709917" cy="1426238"/>
                    </a:xfrm>
                    <a:prstGeom prst="rect">
                      <a:avLst/>
                    </a:prstGeom>
                    <a:noFill/>
                    <a:ln>
                      <a:noFill/>
                    </a:ln>
                    <a:extLst>
                      <a:ext uri="{53640926-AAD7-44D8-BBD7-CCE9431645EC}">
                        <a14:shadowObscured xmlns:a14="http://schemas.microsoft.com/office/drawing/2010/main"/>
                      </a:ext>
                    </a:extLst>
                  </pic:spPr>
                </pic:pic>
              </a:graphicData>
            </a:graphic>
          </wp:inline>
        </w:drawing>
      </w:r>
    </w:p>
    <w:p w14:paraId="2675038C" w14:textId="77777777" w:rsidR="009B697F" w:rsidRPr="009B697F" w:rsidRDefault="009B697F" w:rsidP="009B697F">
      <w:pPr>
        <w:pStyle w:val="Corpsdetexte"/>
        <w:rPr>
          <w:u w:val="single"/>
        </w:rPr>
      </w:pPr>
      <w:r w:rsidRPr="009B697F">
        <w:rPr>
          <w:u w:val="single"/>
        </w:rPr>
        <w:lastRenderedPageBreak/>
        <w:t xml:space="preserve">Contrat C : </w:t>
      </w:r>
    </w:p>
    <w:p w14:paraId="7215E3FB" w14:textId="77777777" w:rsidR="009B697F" w:rsidRPr="009B697F" w:rsidRDefault="009B697F" w:rsidP="009B697F">
      <w:pPr>
        <w:pStyle w:val="Corpsdetexte"/>
      </w:pPr>
      <w:r w:rsidRPr="009B697F">
        <w:rPr>
          <w:noProof/>
          <w:lang w:eastAsia="fr-FR"/>
        </w:rPr>
        <w:drawing>
          <wp:inline distT="0" distB="0" distL="0" distR="0" wp14:anchorId="5EF101B4" wp14:editId="50027149">
            <wp:extent cx="3557745" cy="1470991"/>
            <wp:effectExtent l="0" t="0" r="508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881"/>
                    <a:stretch/>
                  </pic:blipFill>
                  <pic:spPr bwMode="auto">
                    <a:xfrm>
                      <a:off x="0" y="0"/>
                      <a:ext cx="3560127" cy="1471976"/>
                    </a:xfrm>
                    <a:prstGeom prst="rect">
                      <a:avLst/>
                    </a:prstGeom>
                    <a:noFill/>
                    <a:ln>
                      <a:noFill/>
                    </a:ln>
                    <a:extLst>
                      <a:ext uri="{53640926-AAD7-44D8-BBD7-CCE9431645EC}">
                        <a14:shadowObscured xmlns:a14="http://schemas.microsoft.com/office/drawing/2010/main"/>
                      </a:ext>
                    </a:extLst>
                  </pic:spPr>
                </pic:pic>
              </a:graphicData>
            </a:graphic>
          </wp:inline>
        </w:drawing>
      </w:r>
    </w:p>
    <w:p w14:paraId="4CD7FC85" w14:textId="77777777" w:rsidR="009B697F" w:rsidRPr="001F54BF" w:rsidRDefault="009B697F" w:rsidP="001F54BF">
      <w:pPr>
        <w:pStyle w:val="Sources"/>
      </w:pPr>
      <w:r w:rsidRPr="009B697F">
        <w:t>Source : 10 groupements gestionnaires de l’ACS - Enquête annuelle sur l’ACS 2016</w:t>
      </w:r>
    </w:p>
    <w:p w14:paraId="14FF64F1" w14:textId="77777777" w:rsidR="009B697F" w:rsidRPr="009B697F" w:rsidRDefault="009B697F" w:rsidP="009B697F">
      <w:pPr>
        <w:pStyle w:val="Titre6"/>
      </w:pPr>
      <w:r w:rsidRPr="009B697F">
        <w:t>La couverture maladie des personnes en situation de handicap</w:t>
      </w:r>
    </w:p>
    <w:p w14:paraId="24D0373C" w14:textId="77777777" w:rsidR="009B697F" w:rsidRPr="009B697F" w:rsidRDefault="009B697F" w:rsidP="009B697F">
      <w:pPr>
        <w:pStyle w:val="Corpsdetexte"/>
      </w:pPr>
      <w:r w:rsidRPr="009B697F">
        <w:t>Les personnes en situation de handicap appartiennent plus souvent à des milieux sociaux défavorisés. Leurs rev</w:t>
      </w:r>
      <w:r w:rsidRPr="009B697F">
        <w:t>e</w:t>
      </w:r>
      <w:r w:rsidRPr="009B697F">
        <w:t>nus sont plus faibles, notamment lorsque leur handicap leur interdit l’accès à l’emploi ou ne leur permet pas l’accès à des niveaux de salaire moyen ou élevé. L’accès à une couverture complémentaire santé dépend essentie</w:t>
      </w:r>
      <w:r w:rsidRPr="009B697F">
        <w:t>l</w:t>
      </w:r>
      <w:r w:rsidRPr="009B697F">
        <w:t>lement de la situation professionnelle et du niveau d</w:t>
      </w:r>
      <w:r w:rsidR="003A4042">
        <w:t xml:space="preserve">e ressources de ces personnes. </w:t>
      </w:r>
    </w:p>
    <w:p w14:paraId="62E3CFC9" w14:textId="793E0967" w:rsidR="009B697F" w:rsidRPr="009B697F" w:rsidRDefault="009B697F" w:rsidP="009B697F">
      <w:pPr>
        <w:pStyle w:val="Corpsdetexte"/>
      </w:pPr>
      <w:r w:rsidRPr="009B697F">
        <w:t>Les personnes titulaires de l’AAH ont en général des ressources supérieures au seuil d’attribution de la CMU-C</w:t>
      </w:r>
      <w:r w:rsidRPr="009B697F">
        <w:rPr>
          <w:vertAlign w:val="superscript"/>
        </w:rPr>
        <w:footnoteReference w:id="69"/>
      </w:r>
      <w:r w:rsidRPr="009B697F">
        <w:t>. Elles peuvent cependant bénéficier d’une complémentaire santé grâce à l’ACS si leur niveau de ressources est inf</w:t>
      </w:r>
      <w:r w:rsidRPr="009B697F">
        <w:t>é</w:t>
      </w:r>
      <w:r w:rsidRPr="009B697F">
        <w:t>rieur au seuil de pauvreté. D’après l’étude Précarité et Handicap réalisée par le Fonds CMU-C en 2014, le recours constaté à la CMU-C</w:t>
      </w:r>
      <w:r w:rsidR="00E53A70">
        <w:t>,</w:t>
      </w:r>
      <w:r w:rsidRPr="009B697F">
        <w:t xml:space="preserve"> pour les bénéficiaires de l’AAH, </w:t>
      </w:r>
      <w:r w:rsidR="00E53A70">
        <w:t xml:space="preserve">est </w:t>
      </w:r>
      <w:r w:rsidRPr="009B697F">
        <w:t>de l’ordre de 11%.</w:t>
      </w:r>
      <w:r w:rsidR="00E53A70">
        <w:t xml:space="preserve"> </w:t>
      </w:r>
      <w:r w:rsidRPr="009B697F">
        <w:t>Compte tenu du fait que le montant de l’AAH, pour une personne seule, est supérieur au plafond de la CMU-C, il s’agit donc, pour les cas concernés par la CMU-C, d’assurés vivant au sein de foyers dont le total des revenus est inférieur au plafond ou des cas d’AAH m</w:t>
      </w:r>
      <w:r w:rsidRPr="009B697F">
        <w:t>i</w:t>
      </w:r>
      <w:r w:rsidRPr="009B697F">
        <w:t>norée, notamment en cas d’hospitalisation longue ou dans de placement dans une maison d’accueil spécialisée (MAS). Pour l’ACS, le taux des bénéficiair</w:t>
      </w:r>
      <w:r w:rsidR="003A4042">
        <w:t>es de l’AAH est de presque 5%.</w:t>
      </w:r>
    </w:p>
    <w:p w14:paraId="58A74DCD" w14:textId="5BFBBA2A" w:rsidR="009B697F" w:rsidRPr="009B697F" w:rsidRDefault="009B697F" w:rsidP="009B697F">
      <w:pPr>
        <w:pStyle w:val="Corpsdetexte"/>
      </w:pPr>
      <w:r w:rsidRPr="009B697F">
        <w:t>Les personnes en situation d’invalidité bénéficient d’une exonération du ticket modérateur. Leurs soins sont pris en charge à 100%</w:t>
      </w:r>
      <w:r w:rsidRPr="009B697F">
        <w:rPr>
          <w:vertAlign w:val="superscript"/>
        </w:rPr>
        <w:footnoteReference w:id="70"/>
      </w:r>
      <w:r w:rsidRPr="009B697F">
        <w:t xml:space="preserve"> par l’assurance maladie obligatoire mais les dépassements d’honoraires, le forfait journalier, le surcoût des prothèses et des appareillages dentaires et optiques, ne sont pas pris en charge. Ces dernières prest</w:t>
      </w:r>
      <w:r w:rsidRPr="009B697F">
        <w:t>a</w:t>
      </w:r>
      <w:r w:rsidRPr="009B697F">
        <w:t>tions peuvent être prises en charge par une complémentaire santé, par l’ACS si les personnes concernées remplissent</w:t>
      </w:r>
      <w:r w:rsidR="003A4042">
        <w:t xml:space="preserve"> les conditions de ressources. </w:t>
      </w:r>
    </w:p>
    <w:p w14:paraId="25608E03" w14:textId="1129AA1D" w:rsidR="009B697F" w:rsidRPr="009B697F" w:rsidRDefault="009B697F" w:rsidP="009B697F">
      <w:pPr>
        <w:pStyle w:val="Corpsdetexte"/>
      </w:pPr>
      <w:r w:rsidRPr="009B697F">
        <w:t>Certaines personnes peuvent aussi être admises dans le régime des ALD mais, dans ce cas, la prise en charge totale par le régime obligatoire est limitée aux soins en rapport avec l’affection exonérante. Les autres soins ne sont pas pris en charge dans leur intégralité sauf si les personnes sont protégées par une complémentaire santé. Sur l’ensemble des personnes en situation de handicap, les deux tiers relèvent de l’ALD</w:t>
      </w:r>
      <w:r w:rsidR="007F5FB9">
        <w:t xml:space="preserve"> </w:t>
      </w:r>
      <w:r w:rsidRPr="009B697F">
        <w:t>contre moins de 20% pour la population générale.</w:t>
      </w:r>
    </w:p>
    <w:p w14:paraId="0434C915" w14:textId="77777777" w:rsidR="009B697F" w:rsidRPr="009B697F" w:rsidRDefault="009B697F" w:rsidP="009B697F">
      <w:pPr>
        <w:pStyle w:val="Corpsdetexte"/>
      </w:pPr>
      <w:r w:rsidRPr="009B697F">
        <w:br w:type="page"/>
      </w:r>
    </w:p>
    <w:p w14:paraId="7812E2BF" w14:textId="4C029067" w:rsidR="003A4042" w:rsidRPr="003A4042" w:rsidRDefault="003A4042" w:rsidP="00854628">
      <w:pPr>
        <w:pStyle w:val="Titre2Annexes"/>
        <w:ind w:left="0"/>
      </w:pPr>
      <w:bookmarkStart w:id="522" w:name="_Toc518750606"/>
      <w:bookmarkStart w:id="523" w:name="_Toc523327723"/>
      <w:r w:rsidRPr="003A4042">
        <w:lastRenderedPageBreak/>
        <w:t>Les dispositifs d’</w:t>
      </w:r>
      <w:bookmarkEnd w:id="522"/>
      <w:r w:rsidR="00E53A70">
        <w:t xml:space="preserve">AME </w:t>
      </w:r>
      <w:r w:rsidR="00944373">
        <w:t>et des « soins urgents »</w:t>
      </w:r>
      <w:bookmarkEnd w:id="523"/>
    </w:p>
    <w:p w14:paraId="0427F930" w14:textId="74D853FA" w:rsidR="00944373" w:rsidRDefault="00944373" w:rsidP="003A4042">
      <w:pPr>
        <w:pStyle w:val="Corpsdetexte"/>
      </w:pPr>
      <w:r>
        <w:t>La prise en charge des personnes précaires en situation irrégulière recouvre différents dispositifs :</w:t>
      </w:r>
    </w:p>
    <w:p w14:paraId="0791BB77" w14:textId="220FB9F9" w:rsidR="003A4042" w:rsidRPr="003A4042" w:rsidRDefault="003A4042" w:rsidP="003A4042">
      <w:pPr>
        <w:pStyle w:val="Corpsdetexte"/>
      </w:pPr>
    </w:p>
    <w:p w14:paraId="7CD1844A" w14:textId="412DFE33" w:rsidR="003A4042" w:rsidRPr="003A4042" w:rsidRDefault="003A4042" w:rsidP="00610C56">
      <w:pPr>
        <w:pStyle w:val="Listecontinue"/>
      </w:pPr>
      <w:r w:rsidRPr="003A4042">
        <w:t xml:space="preserve">L’AME de droit commun : </w:t>
      </w:r>
      <w:r w:rsidR="00E53A70">
        <w:t>c</w:t>
      </w:r>
      <w:r w:rsidR="00944373" w:rsidRPr="003A4042">
        <w:t>réée par la loi CMU du 27 juillet 1999, l’AME répond à un objectif à la fois human</w:t>
      </w:r>
      <w:r w:rsidR="00944373" w:rsidRPr="003A4042">
        <w:t>i</w:t>
      </w:r>
      <w:r w:rsidR="00944373" w:rsidRPr="003A4042">
        <w:t>taire, social et de santé publique, en ouvrant aux personnes en situation irrégulière la possibilité d’accéder à une couverture maladie.</w:t>
      </w:r>
      <w:r w:rsidR="00944373">
        <w:t xml:space="preserve"> S</w:t>
      </w:r>
      <w:r w:rsidRPr="003A4042">
        <w:t>on bénéfice est ouvert aux personnes en situation irrégulière, qui résident depuis plus de trois mois sur le territoire français et dont les ressources sont inférieures au plafond de la CMU-C (734</w:t>
      </w:r>
      <w:r w:rsidR="009C3ADC">
        <w:t xml:space="preserve"> euros</w:t>
      </w:r>
      <w:r w:rsidRPr="003A4042">
        <w:t xml:space="preserve"> en 2018</w:t>
      </w:r>
      <w:r w:rsidRPr="003A4042">
        <w:rPr>
          <w:vertAlign w:val="superscript"/>
        </w:rPr>
        <w:footnoteReference w:id="71"/>
      </w:r>
      <w:r w:rsidRPr="003A4042">
        <w:t>). Comme la CMU</w:t>
      </w:r>
      <w:r w:rsidRPr="003A4042">
        <w:noBreakHyphen/>
        <w:t>C, l’AME prend en charge les dépenses de santé jusqu’à 100% des tarifs de responsabilité fixés par la sécurité sociale pour les soins remboursables par l’assurance maladie obligatoire, le forfait journalier hospitalier,</w:t>
      </w:r>
      <w:r w:rsidR="00E95A5A">
        <w:t xml:space="preserve"> etc.</w:t>
      </w:r>
      <w:r w:rsidR="00317658">
        <w:t xml:space="preserve"> </w:t>
      </w:r>
      <w:r w:rsidRPr="003A4042">
        <w:t>Certains soins sont toutefois exclus de la prise en charge par l’AME</w:t>
      </w:r>
      <w:r w:rsidR="00317658">
        <w:t xml:space="preserve"> (sauf pour les mineurs)</w:t>
      </w:r>
      <w:r w:rsidRPr="003A4042">
        <w:t>, tels que les actes techniques, examens, médicaments et produits nécessaires à la réalisation d’une aide médicale à la procréation et les médicaments dont le service médical rendu a été classé comme faible (médicaments remboursés à 15%). Les titulaires de l’AME bénéficient du tiers-payant</w:t>
      </w:r>
      <w:r w:rsidR="00317658">
        <w:t xml:space="preserve"> int</w:t>
      </w:r>
      <w:r w:rsidR="00317658">
        <w:t>é</w:t>
      </w:r>
      <w:r w:rsidR="00317658">
        <w:t>gral</w:t>
      </w:r>
      <w:r w:rsidRPr="003A4042">
        <w:t>.</w:t>
      </w:r>
    </w:p>
    <w:p w14:paraId="0CCD16B4" w14:textId="1C7DCDF6" w:rsidR="003A4042" w:rsidRPr="003A4042" w:rsidRDefault="00610C56" w:rsidP="00610C56">
      <w:pPr>
        <w:pStyle w:val="Listecontinue"/>
        <w:numPr>
          <w:ilvl w:val="0"/>
          <w:numId w:val="0"/>
        </w:numPr>
        <w:ind w:left="284"/>
      </w:pPr>
      <w:r>
        <w:t>C</w:t>
      </w:r>
      <w:r w:rsidR="003A4042" w:rsidRPr="003A4042">
        <w:t>ontrairement aux bénéficiaires de la CMU</w:t>
      </w:r>
      <w:r w:rsidR="003A4042" w:rsidRPr="003A4042">
        <w:noBreakHyphen/>
        <w:t>C, les titulaires de l’AME peuventse voir appliquer des dépass</w:t>
      </w:r>
      <w:r w:rsidR="003A4042" w:rsidRPr="003A4042">
        <w:t>e</w:t>
      </w:r>
      <w:r w:rsidR="003A4042" w:rsidRPr="003A4042">
        <w:t>ments d’honoraires et il n’existe pas de tarifs plafonds pour les soins prothétiques dentaires, l’audioprothèse et l’optique.</w:t>
      </w:r>
    </w:p>
    <w:p w14:paraId="32ECA8C5" w14:textId="77777777" w:rsidR="003A4042" w:rsidRDefault="00610C56" w:rsidP="00610C56">
      <w:pPr>
        <w:pStyle w:val="Listecontinue"/>
        <w:numPr>
          <w:ilvl w:val="0"/>
          <w:numId w:val="0"/>
        </w:numPr>
        <w:ind w:left="284"/>
      </w:pPr>
      <w:r>
        <w:t>L</w:t>
      </w:r>
      <w:r w:rsidR="003A4042" w:rsidRPr="003A4042">
        <w:t>’aide est quérable auprès de la CNAM, vala</w:t>
      </w:r>
      <w:r w:rsidR="003A4042">
        <w:t>ble pour un an et renouvelable.</w:t>
      </w:r>
    </w:p>
    <w:p w14:paraId="3C135BF1" w14:textId="77777777" w:rsidR="00610C56" w:rsidRPr="003A4042" w:rsidRDefault="00610C56" w:rsidP="00610C56">
      <w:pPr>
        <w:pStyle w:val="Listecontinue"/>
        <w:numPr>
          <w:ilvl w:val="0"/>
          <w:numId w:val="0"/>
        </w:numPr>
        <w:ind w:left="284"/>
      </w:pPr>
    </w:p>
    <w:p w14:paraId="4DBB063D" w14:textId="23053C0E" w:rsidR="003A4042" w:rsidRDefault="00317658" w:rsidP="003A4042">
      <w:pPr>
        <w:pStyle w:val="Listecontinue"/>
      </w:pPr>
      <w:r>
        <w:t>Les</w:t>
      </w:r>
      <w:r w:rsidR="003A4042" w:rsidRPr="003A4042">
        <w:t xml:space="preserve"> « soins urgents » concerne</w:t>
      </w:r>
      <w:r>
        <w:t>nt</w:t>
      </w:r>
      <w:r w:rsidR="003A4042" w:rsidRPr="003A4042">
        <w:t xml:space="preserve"> les personnes dont l’état de santé nécessite une prise en charge sanitaire immédiate et qui ne remplissent pas les conditions d’octroi de l’AME de droit commun (durée de résidence i</w:t>
      </w:r>
      <w:r w:rsidR="003A4042" w:rsidRPr="003A4042">
        <w:t>n</w:t>
      </w:r>
      <w:r w:rsidR="003A4042" w:rsidRPr="003A4042">
        <w:t>férieure à 3 mois</w:t>
      </w:r>
      <w:r w:rsidR="00E53A70">
        <w:t xml:space="preserve"> ou</w:t>
      </w:r>
      <w:r w:rsidR="003A4042" w:rsidRPr="003A4042">
        <w:t xml:space="preserve"> durée de résidence supérieures à 3 mois mais ressources supérieures au plafond de l’AME de droit commun). Effectués </w:t>
      </w:r>
      <w:r>
        <w:t xml:space="preserve">exclusivement </w:t>
      </w:r>
      <w:r w:rsidR="003A4042" w:rsidRPr="003A4042">
        <w:t>en établissement hospitalier, ces soins compre</w:t>
      </w:r>
      <w:r w:rsidR="003A4042" w:rsidRPr="003A4042">
        <w:t>n</w:t>
      </w:r>
      <w:r w:rsidR="003A4042" w:rsidRPr="003A4042">
        <w:t>nent les soins dont l’absence mettrait en jeu le pronostic vital ou pourrait conduire à l'altération grave et durable de l’état de sa</w:t>
      </w:r>
      <w:r w:rsidR="003A4042" w:rsidRPr="003A4042">
        <w:t>n</w:t>
      </w:r>
      <w:r w:rsidR="003A4042" w:rsidRPr="003A4042">
        <w:t>té, les soins destinés à éviter la propagation d'une maladie (exemple : la tuberculose) et tous les soins d'une femme enceinte et d'un nouveau-né (examens de prévention réalisés pendant et après la grossesse, acco</w:t>
      </w:r>
      <w:r w:rsidR="003A4042" w:rsidRPr="003A4042">
        <w:t>u</w:t>
      </w:r>
      <w:r w:rsidR="003A4042" w:rsidRPr="003A4042">
        <w:t>chement)</w:t>
      </w:r>
      <w:r>
        <w:t xml:space="preserve">, ainsi que les interruptions de grossesse </w:t>
      </w:r>
      <w:r w:rsidRPr="00C040A2">
        <w:t>(volontaires ou pour motif médical)</w:t>
      </w:r>
      <w:r w:rsidR="003A4042" w:rsidRPr="003A4042">
        <w:t>.</w:t>
      </w:r>
    </w:p>
    <w:p w14:paraId="1AEB3C43" w14:textId="77777777" w:rsidR="00610C56" w:rsidRPr="003A4042" w:rsidRDefault="00610C56" w:rsidP="00610C56">
      <w:pPr>
        <w:pStyle w:val="Listecontinue"/>
        <w:numPr>
          <w:ilvl w:val="0"/>
          <w:numId w:val="0"/>
        </w:numPr>
        <w:ind w:left="284"/>
      </w:pPr>
    </w:p>
    <w:p w14:paraId="26D5139A" w14:textId="77777777" w:rsidR="003A4042" w:rsidRPr="003A4042" w:rsidRDefault="003A4042" w:rsidP="003A4042">
      <w:pPr>
        <w:pStyle w:val="Corpsdetexte"/>
      </w:pPr>
      <w:r w:rsidRPr="003A4042">
        <w:t>L’A</w:t>
      </w:r>
      <w:r>
        <w:t>ME</w:t>
      </w:r>
      <w:r w:rsidRPr="003A4042">
        <w:t xml:space="preserve"> est une aide sociale financée par l’Etat. Elle relève du programme « protection maladie » de la loi de f</w:t>
      </w:r>
      <w:r w:rsidRPr="003A4042">
        <w:t>i</w:t>
      </w:r>
      <w:r w:rsidRPr="003A4042">
        <w:t xml:space="preserve">nances (programme 183) et donne chaque année lieu au vote d’une enveloppe budgétaire fermée. </w:t>
      </w:r>
    </w:p>
    <w:p w14:paraId="575DC9C5" w14:textId="24F98E27" w:rsidR="003A4042" w:rsidRPr="003A4042" w:rsidRDefault="003A4042" w:rsidP="003A4042">
      <w:pPr>
        <w:pStyle w:val="Corpsdetexte"/>
      </w:pPr>
      <w:r w:rsidRPr="003A4042">
        <w:t xml:space="preserve">La CNAM avance </w:t>
      </w:r>
      <w:r w:rsidR="00317658">
        <w:t xml:space="preserve">pour le compte de l’Etat </w:t>
      </w:r>
      <w:r w:rsidRPr="003A4042">
        <w:t>les frais liés à l’AME de droit commun et rembourse aux hôpitaux les dépenses relatives aux soins urgents</w:t>
      </w:r>
      <w:r w:rsidR="00317658">
        <w:t>, auxquelles l’Etat participe à hauteur d’une enveloppe forfaitaire de 40 mi</w:t>
      </w:r>
      <w:r w:rsidR="00317658">
        <w:t>l</w:t>
      </w:r>
      <w:r w:rsidR="00317658">
        <w:t>lions d’euros</w:t>
      </w:r>
      <w:r w:rsidRPr="003A4042">
        <w:t>.</w:t>
      </w:r>
    </w:p>
    <w:p w14:paraId="441267B4" w14:textId="77777777" w:rsidR="009B697F" w:rsidRDefault="009B697F" w:rsidP="009B697F">
      <w:pPr>
        <w:pStyle w:val="Corpsdetexte"/>
      </w:pPr>
    </w:p>
    <w:p w14:paraId="47779A50" w14:textId="77777777" w:rsidR="00AE73BE" w:rsidRPr="00631079" w:rsidRDefault="00AE73BE" w:rsidP="00AE73BE">
      <w:pPr>
        <w:pStyle w:val="Titre2Annexes"/>
        <w:ind w:left="0"/>
      </w:pPr>
      <w:bookmarkStart w:id="524" w:name="_Toc523327724"/>
      <w:r w:rsidRPr="00631079">
        <w:lastRenderedPageBreak/>
        <w:t>Les mesures d’amélioration de l’accès aux droits d’ores et déjà engagées face aux risques de renoncement aux droits</w:t>
      </w:r>
      <w:bookmarkEnd w:id="524"/>
    </w:p>
    <w:p w14:paraId="5267BE09" w14:textId="163A909A" w:rsidR="00AE73BE" w:rsidRPr="00631079" w:rsidRDefault="00AE73BE" w:rsidP="00AE73BE">
      <w:pPr>
        <w:pStyle w:val="Titre6"/>
        <w:numPr>
          <w:ilvl w:val="5"/>
          <w:numId w:val="19"/>
        </w:numPr>
      </w:pPr>
      <w:r w:rsidRPr="00631079">
        <w:t>Une démarche d’ouverture ou de renouvellement des droits complexe et à renouveler tous les ans</w:t>
      </w:r>
    </w:p>
    <w:p w14:paraId="70F24A57" w14:textId="624D1C37" w:rsidR="00AE73BE" w:rsidRPr="00631079" w:rsidRDefault="00AE73BE" w:rsidP="00AE73BE">
      <w:pPr>
        <w:pStyle w:val="Corpsdetexte"/>
      </w:pPr>
      <w:r w:rsidRPr="00631079">
        <w:t>Le formulaire de demande de CMU-C</w:t>
      </w:r>
      <w:r w:rsidRPr="00631079">
        <w:rPr>
          <w:vertAlign w:val="superscript"/>
        </w:rPr>
        <w:footnoteReference w:id="72"/>
      </w:r>
      <w:r w:rsidRPr="00631079">
        <w:t xml:space="preserve"> diffusé depuis le mois de juillet 2018 comporte quatre pages. S’il a fait l’objet d’une simplification notable par rapport à la version antérieure qui comportait huit pages, il demeure co</w:t>
      </w:r>
      <w:r w:rsidRPr="00631079">
        <w:t>m</w:t>
      </w:r>
      <w:r w:rsidRPr="00631079">
        <w:t>plexe à remplir, avec notamment la nécessité pour le demandeur de reporter une partie de ses ressources catégorie par catégorie</w:t>
      </w:r>
      <w:r w:rsidRPr="00631079">
        <w:rPr>
          <w:vertAlign w:val="superscript"/>
        </w:rPr>
        <w:footnoteReference w:id="73"/>
      </w:r>
      <w:r>
        <w:t>.</w:t>
      </w:r>
    </w:p>
    <w:p w14:paraId="1A1ADB1A" w14:textId="77777777" w:rsidR="00AE73BE" w:rsidRPr="00631079" w:rsidRDefault="00AE73BE" w:rsidP="00AE73BE">
      <w:pPr>
        <w:pStyle w:val="Corpsdetexte"/>
      </w:pPr>
      <w:r w:rsidRPr="00631079">
        <w:t>Des pièces justificatives sont exigées à l’appui de la demande, relatives à la régularité du séjour et aux ressources perçues (avis d’impôt, avis de taxe foncière, avis de taxe locale d’habitation, etc.). Les bénéficiaires doivent enfin indiquer leur choix d’organisme gestionnaire de la CMU</w:t>
      </w:r>
      <w:r w:rsidRPr="00631079">
        <w:noBreakHyphen/>
        <w:t xml:space="preserve">C (leur CPAM ou un organisme complémentaire). </w:t>
      </w:r>
    </w:p>
    <w:p w14:paraId="135432B7" w14:textId="5FCA1626" w:rsidR="00AE73BE" w:rsidRPr="00631079" w:rsidRDefault="00AE73BE" w:rsidP="00AE73BE">
      <w:pPr>
        <w:pStyle w:val="Corpsdetexte"/>
      </w:pPr>
      <w:r w:rsidRPr="00631079">
        <w:t xml:space="preserve">En 2014, la durée moyenne de détention d’un contrat collectif était de </w:t>
      </w:r>
      <w:r w:rsidR="007F5FB9">
        <w:t>7</w:t>
      </w:r>
      <w:r w:rsidR="007F5FB9" w:rsidRPr="00631079">
        <w:t xml:space="preserve"> </w:t>
      </w:r>
      <w:r w:rsidRPr="00631079">
        <w:t>ans. Elle était de 12 ans pour les contrats individuels</w:t>
      </w:r>
      <w:r w:rsidRPr="00631079">
        <w:rPr>
          <w:vertAlign w:val="superscript"/>
        </w:rPr>
        <w:footnoteReference w:id="74"/>
      </w:r>
      <w:r w:rsidRPr="00631079">
        <w:t>. Les assurés éligibles à la CMU-C, à l’ACS ou à l’AME doivent au contraire chaque année r</w:t>
      </w:r>
      <w:r w:rsidRPr="00631079">
        <w:t>e</w:t>
      </w:r>
      <w:r w:rsidRPr="00631079">
        <w:t>nouveler leurs démarches en veillant de surcroît à entamer le processus de demande au moins deux mois avant l’échéance pour ne pas s’exposer à une rupture de leur couverture, alors même que, majoritairement, ils réuni</w:t>
      </w:r>
      <w:r w:rsidRPr="00631079">
        <w:t>s</w:t>
      </w:r>
      <w:r w:rsidRPr="00631079">
        <w:t>sent toujours les c</w:t>
      </w:r>
      <w:r>
        <w:t>ritères d’éligibilité au droit.</w:t>
      </w:r>
    </w:p>
    <w:p w14:paraId="202A47C9" w14:textId="77777777" w:rsidR="00AE73BE" w:rsidRPr="00631079" w:rsidRDefault="00AE73BE" w:rsidP="00AE73BE">
      <w:pPr>
        <w:pStyle w:val="Corpsdetexte"/>
      </w:pPr>
      <w:r w:rsidRPr="00631079">
        <w:t>Ces « coûts de transaction » occasionnés pour entamer les démarches et rassembler l’ensemble des pièces justif</w:t>
      </w:r>
      <w:r w:rsidRPr="00631079">
        <w:t>i</w:t>
      </w:r>
      <w:r w:rsidRPr="00631079">
        <w:t>catives sont à l’origine de ruptures de droits d’une année sur l’autre et de non renouvellements. Ils sont par ailleurs incompris en particulier par les bénéficiaires de minima sociaux dont la situation économique évolue peu.</w:t>
      </w:r>
    </w:p>
    <w:p w14:paraId="1110B16E" w14:textId="66C0951B" w:rsidR="00AE73BE" w:rsidRPr="00631079" w:rsidRDefault="00AE73BE" w:rsidP="00AE73BE">
      <w:pPr>
        <w:pStyle w:val="Corpsdetexte"/>
      </w:pPr>
      <w:r w:rsidRPr="00631079">
        <w:t xml:space="preserve">Complexes pour les assurés, l’ouverture des droits à la CMU-C ou à l’ACS et leur renouvellement se traduisent par des coûts de gestion élevés pour les caisses - qui doivent vérifier les pièces, instruire le droit, notifier à l’assuré l’accord ou le refus de droit, </w:t>
      </w:r>
      <w:r w:rsidR="00BE491A" w:rsidRPr="0057371A">
        <w:t>etc.</w:t>
      </w:r>
      <w:r w:rsidRPr="00631079">
        <w:rPr>
          <w:i/>
        </w:rPr>
        <w:t xml:space="preserve"> </w:t>
      </w:r>
      <w:r w:rsidR="00E95A5A">
        <w:rPr>
          <w:i/>
        </w:rPr>
        <w:t>-</w:t>
      </w:r>
      <w:r w:rsidRPr="00631079">
        <w:rPr>
          <w:i/>
        </w:rPr>
        <w:t xml:space="preserve"> </w:t>
      </w:r>
      <w:r w:rsidRPr="00631079">
        <w:t>et génèrent des indus. Ils nécessitent également un accompagnement impo</w:t>
      </w:r>
      <w:r w:rsidRPr="00631079">
        <w:t>r</w:t>
      </w:r>
      <w:r w:rsidRPr="00631079">
        <w:t>tant par les travailleu</w:t>
      </w:r>
      <w:r>
        <w:t>rs sociaux et les associations.</w:t>
      </w:r>
    </w:p>
    <w:p w14:paraId="48738068" w14:textId="77777777" w:rsidR="00AE73BE" w:rsidRPr="00631079" w:rsidRDefault="00AE73BE" w:rsidP="00AE73BE">
      <w:pPr>
        <w:pStyle w:val="Titre6"/>
      </w:pPr>
      <w:r w:rsidRPr="00631079">
        <w:t>Les mesures de simplification et d’accompagnement mises en œuvre par les pouvoirs publics et les opérateurs</w:t>
      </w:r>
    </w:p>
    <w:p w14:paraId="1211FF82" w14:textId="6B13C2D8" w:rsidR="00AE73BE" w:rsidRPr="00631079" w:rsidRDefault="00AE73BE" w:rsidP="00AE73BE">
      <w:pPr>
        <w:pStyle w:val="Corpsdetexte"/>
      </w:pPr>
      <w:r w:rsidRPr="00631079">
        <w:t>Outre la simplification du formulaire de demande et la réduction sensible du nombre de pièces justificatives, l’assurance maladie</w:t>
      </w:r>
      <w:r w:rsidR="0030514F">
        <w:t xml:space="preserve"> obligatoire</w:t>
      </w:r>
      <w:r w:rsidRPr="00631079">
        <w:t xml:space="preserve"> s’est engagée, dans le cadre de sa COG 2018-2022 à déployer une démarche co</w:t>
      </w:r>
      <w:r w:rsidRPr="00631079">
        <w:t>m</w:t>
      </w:r>
      <w:r w:rsidRPr="00631079">
        <w:t xml:space="preserve">plète permettant aux assurés, et particulièrement aux plus vulnérables d’entre eux, de bénéficier d’un accès facilité à leurs droits. Dans ce cadre, différentes actions ont d’ores et déjà été initiées par la branche maladie du régime général : demande en ligne d’attribution initiale ou de renouvellement de la CMU-C ou de l’ACS à partir du compte ameli, détection des situations de renoncement aux soins et mise en place d’accompagnements personnalisés dans le cadre des </w:t>
      </w:r>
      <w:r w:rsidR="005D22F8">
        <w:t>PFIDASS</w:t>
      </w:r>
      <w:r w:rsidRPr="00631079">
        <w:t>.</w:t>
      </w:r>
    </w:p>
    <w:p w14:paraId="5783DD04" w14:textId="20DFAAD4" w:rsidR="00AE73BE" w:rsidRDefault="00AE73BE" w:rsidP="00AE73BE">
      <w:pPr>
        <w:pStyle w:val="Corpsdetexte"/>
      </w:pPr>
      <w:r w:rsidRPr="00631079">
        <w:t xml:space="preserve">Dans une logique d'accompagnement global depuis la détection d'une situation difficile jusqu'à sa résolution, le dispositif </w:t>
      </w:r>
      <w:r w:rsidR="005D22F8">
        <w:t>PFIDASS</w:t>
      </w:r>
      <w:r w:rsidRPr="00631079">
        <w:t xml:space="preserve"> implique une nouvelle approche pour </w:t>
      </w:r>
      <w:r w:rsidR="005D22F8" w:rsidRPr="00631079">
        <w:t>l'</w:t>
      </w:r>
      <w:r w:rsidR="005D22F8">
        <w:t>assurance maladie</w:t>
      </w:r>
      <w:r w:rsidRPr="00631079">
        <w:t xml:space="preserve"> qui, au-delà de délivrer des droits ou des prestations dans une logique de « guichet », va désormais au-devant des pe</w:t>
      </w:r>
      <w:r w:rsidRPr="00631079">
        <w:t>r</w:t>
      </w:r>
      <w:r w:rsidRPr="00631079">
        <w:t>sonnes qui méconnaîtraient leurs droits administratifs ou qui rencontreraient des difficultés pour accéder aux soins. C'est un changement de par</w:t>
      </w:r>
      <w:r w:rsidRPr="00631079">
        <w:t>a</w:t>
      </w:r>
      <w:r w:rsidRPr="00631079">
        <w:t>digme pour les agents des caisses qui ont été formés à repérer, lors de leurs échanges avec les assurés, d'éventuelles difficultés à se soigner.</w:t>
      </w:r>
    </w:p>
    <w:p w14:paraId="78C2C488" w14:textId="77777777" w:rsidR="00AE73BE" w:rsidRPr="00631079" w:rsidRDefault="00AE73BE" w:rsidP="00AE73BE">
      <w:pPr>
        <w:pStyle w:val="Corpsdetexte"/>
      </w:pPr>
      <w:r w:rsidRPr="00631079">
        <w:lastRenderedPageBreak/>
        <w:t>Au total, depuis la première expérimentation et à la date de fin mars 2018, 35 433 assurés ont bénéficié de ce dispositif, soit une moyenne de 325 assurés pris en charge chaque semaine en France. Parmi les accompagnements clôturés, près d'un dossier sur deux a abouti à une réalisation des soins, 12 701 assurés ont vu leurs droits ouverts, 6 030 ont été mieux orientés dans le système de soins, 4 480 ont bénéficié d'un accompagnement financier, et 1 392 assurés ont pu bénéficier d'une orientation vers un partenaire.</w:t>
      </w:r>
    </w:p>
    <w:p w14:paraId="62FA8CB1" w14:textId="29076AE2" w:rsidR="00AE73BE" w:rsidRPr="00631079" w:rsidRDefault="00AE73BE" w:rsidP="00AE73BE">
      <w:pPr>
        <w:pStyle w:val="Corpsdetexte"/>
      </w:pPr>
      <w:r w:rsidRPr="00631079">
        <w:t xml:space="preserve">S’agissant des régimes agricoles, la </w:t>
      </w:r>
      <w:r w:rsidR="00162260" w:rsidRPr="00162260">
        <w:t xml:space="preserve">Caisse centrale de la mutualité sociale agricole </w:t>
      </w:r>
      <w:r w:rsidR="00162260">
        <w:t>(</w:t>
      </w:r>
      <w:r w:rsidRPr="00631079">
        <w:t>CCMSA</w:t>
      </w:r>
      <w:r w:rsidR="00162260">
        <w:t>)</w:t>
      </w:r>
      <w:r w:rsidRPr="00631079">
        <w:t xml:space="preserve"> s’est engagée, dans le cadre de sa COG 2016-2020, à veiller au développement homogène du Rendez-vous Prestations sur l’ensemble du territoire. </w:t>
      </w:r>
      <w:r w:rsidRPr="00631079">
        <w:rPr>
          <w:bCs/>
        </w:rPr>
        <w:t>Destinés aux salariés et non-salariés agricoles et leurs ayants droit, les Rendez-vous prestations</w:t>
      </w:r>
      <w:r w:rsidRPr="00631079">
        <w:rPr>
          <w:vertAlign w:val="superscript"/>
        </w:rPr>
        <w:footnoteReference w:id="75"/>
      </w:r>
      <w:r w:rsidRPr="00631079">
        <w:rPr>
          <w:bCs/>
        </w:rPr>
        <w:t xml:space="preserve"> créés en 2008 représentent un dispositif d'accompagnement individuel organisé, à l’initiative de la </w:t>
      </w:r>
      <w:r w:rsidR="00162260">
        <w:rPr>
          <w:bCs/>
        </w:rPr>
        <w:t>Mutualité sociale agricole (</w:t>
      </w:r>
      <w:r w:rsidRPr="00631079">
        <w:rPr>
          <w:bCs/>
        </w:rPr>
        <w:t>MSA</w:t>
      </w:r>
      <w:r w:rsidR="00162260">
        <w:rPr>
          <w:bCs/>
        </w:rPr>
        <w:t>)</w:t>
      </w:r>
      <w:r w:rsidRPr="00631079">
        <w:rPr>
          <w:bCs/>
        </w:rPr>
        <w:t>, dans un point d’accueil ou par téléphone.</w:t>
      </w:r>
      <w:r w:rsidRPr="00631079">
        <w:t xml:space="preserve"> Lors de l’échange avec l’assuré, le conseiller MSA peut ainsi faire un point d’ensemble de sa situation personnelle, lui expliquer les modalités d’ouverture de ses droits (aides au logement, prime d’activité, RSA, </w:t>
      </w:r>
      <w:r w:rsidR="00E95A5A">
        <w:t>ACS</w:t>
      </w:r>
      <w:r w:rsidRPr="00631079">
        <w:t>, CMU-C, retraite</w:t>
      </w:r>
      <w:r w:rsidR="00E95A5A">
        <w:t>, etc.</w:t>
      </w:r>
      <w:r w:rsidRPr="00631079">
        <w:t>) et l’orienter, si besoin, vers des services i</w:t>
      </w:r>
      <w:r w:rsidRPr="00631079">
        <w:t>n</w:t>
      </w:r>
      <w:r w:rsidRPr="00631079">
        <w:t>ter</w:t>
      </w:r>
      <w:r>
        <w:t>nes ou des organismes externes.</w:t>
      </w:r>
    </w:p>
    <w:p w14:paraId="40F442BC" w14:textId="425C41B6" w:rsidR="00AE73BE" w:rsidRPr="00631079" w:rsidRDefault="00AE73BE" w:rsidP="00AE73BE">
      <w:pPr>
        <w:pStyle w:val="Corpsdetexte"/>
      </w:pPr>
      <w:r w:rsidRPr="00631079">
        <w:t>Les CAF - qui ouvrent les droits aux bénéficiaires du RSA et constituent de ce fait un point d’entrée important vers la CMU-C - ont également contribué à l’amélioration de l’accès aux droits : généralisation des rendez-vous des droits, développement des échanges dématérialisés avec les partenaires et notamment transmission dématérial</w:t>
      </w:r>
      <w:r w:rsidRPr="00631079">
        <w:t>i</w:t>
      </w:r>
      <w:r w:rsidRPr="00631079">
        <w:t xml:space="preserve">sée aux </w:t>
      </w:r>
      <w:r w:rsidR="00BE491A">
        <w:t>CPAM</w:t>
      </w:r>
      <w:r w:rsidRPr="00631079">
        <w:t xml:space="preserve"> des demandes de C</w:t>
      </w:r>
      <w:r w:rsidR="00BE491A">
        <w:t>MU</w:t>
      </w:r>
      <w:r w:rsidR="00BE491A">
        <w:noBreakHyphen/>
        <w:t>C</w:t>
      </w:r>
      <w:r w:rsidRPr="00631079">
        <w:t xml:space="preserve"> recueil</w:t>
      </w:r>
      <w:r>
        <w:t>lies par la téléprocédure @Rsa.</w:t>
      </w:r>
    </w:p>
    <w:p w14:paraId="210EBF85" w14:textId="6851B23D" w:rsidR="00AE73BE" w:rsidRDefault="00AE73BE" w:rsidP="00AE73BE">
      <w:pPr>
        <w:pStyle w:val="Corpsdetexte"/>
      </w:pPr>
      <w:r w:rsidRPr="00631079">
        <w:t>Les organismes complémentaires gestionnaires d’une partie des bénéficiaires de la CMU-C et de la totalité des bénéficiaires de l’ACS veillent également à fluidifier les renouvellements de droits, à promouvoir les dispositifs, voire même à expérimenter des actions de meilleure détection</w:t>
      </w:r>
      <w:r>
        <w:t>.</w:t>
      </w:r>
    </w:p>
    <w:p w14:paraId="42185DB8" w14:textId="77777777" w:rsidR="00610C56" w:rsidRDefault="00610C56" w:rsidP="009B697F">
      <w:pPr>
        <w:pStyle w:val="Corpsdetexte"/>
      </w:pPr>
    </w:p>
    <w:p w14:paraId="3BD03A8E" w14:textId="77777777" w:rsidR="00610C56" w:rsidRDefault="00610C56" w:rsidP="009B697F">
      <w:pPr>
        <w:pStyle w:val="Corpsdetexte"/>
      </w:pPr>
    </w:p>
    <w:p w14:paraId="3E6323D7" w14:textId="77777777" w:rsidR="00610C56" w:rsidRDefault="00610C56">
      <w:r>
        <w:br w:type="page"/>
      </w:r>
    </w:p>
    <w:p w14:paraId="7C62C92A" w14:textId="77777777" w:rsidR="00610C56" w:rsidRPr="00610C56" w:rsidRDefault="00610C56" w:rsidP="00CD557F">
      <w:pPr>
        <w:pStyle w:val="Titre2Annexes"/>
        <w:ind w:left="0"/>
      </w:pPr>
      <w:bookmarkStart w:id="525" w:name="_Toc518750607"/>
      <w:bookmarkStart w:id="526" w:name="_Toc523327725"/>
      <w:r w:rsidRPr="00610C56">
        <w:lastRenderedPageBreak/>
        <w:t>Les bénéficiaires de l’AME et leur consommation de soins</w:t>
      </w:r>
      <w:bookmarkEnd w:id="525"/>
      <w:bookmarkEnd w:id="526"/>
    </w:p>
    <w:p w14:paraId="74CC5D32" w14:textId="1C9C30BA" w:rsidR="00610C56" w:rsidRPr="00610C56" w:rsidRDefault="00610C56" w:rsidP="00610C56">
      <w:pPr>
        <w:pStyle w:val="Corpsdetexte"/>
      </w:pPr>
      <w:r w:rsidRPr="00610C56">
        <w:t xml:space="preserve">Aucun panorama exhaustif de couverture nationale </w:t>
      </w:r>
      <w:r w:rsidR="004D7AFB" w:rsidRPr="00610C56">
        <w:t>n’e</w:t>
      </w:r>
      <w:r w:rsidR="004D7AFB">
        <w:t>st rpoduit et diffusé</w:t>
      </w:r>
      <w:r w:rsidRPr="00610C56">
        <w:t xml:space="preserve">, ni sur l’accès à la santé des personnes en situation irrégulière sur le territoire, ni sur l’accès à la santé des bénéficiaires de l’AME. Les études disponibles portent soit sur un périmètre géographique limité, soit sur une population restreinte. Les enquêtes et études qui ont pu être produites par le système de suivi statistique national sont par ailleurs anciennes. </w:t>
      </w:r>
    </w:p>
    <w:p w14:paraId="5F203AA1" w14:textId="6A771C5D" w:rsidR="00610C56" w:rsidRPr="00610C56" w:rsidRDefault="00610C56" w:rsidP="00610C56">
      <w:pPr>
        <w:pStyle w:val="Corpsdetexte"/>
      </w:pPr>
      <w:r w:rsidRPr="00610C56">
        <w:t xml:space="preserve">Les données présentées ici nous été fournies par la CNAM dans le cadre de l’élaboration du rapport ou proviennent de l’association Médecins du Monde. Les analyses et statistiques produites dans le cadre de l’observatoire annuel de l’accès aux droits et aux soins de Médecins du Monde, bien que limitées aux personnes accueillies dans les </w:t>
      </w:r>
      <w:r w:rsidR="00AA5053" w:rsidRPr="00610C56">
        <w:t>C</w:t>
      </w:r>
      <w:r w:rsidR="00AA5053">
        <w:t>ASO</w:t>
      </w:r>
      <w:r w:rsidRPr="00610C56">
        <w:t xml:space="preserve"> de l’association, permettent de dégager des faits stylisés détaillés sur l’accès aux droits et à la santé des pe</w:t>
      </w:r>
      <w:r w:rsidRPr="00610C56">
        <w:t>r</w:t>
      </w:r>
      <w:r w:rsidRPr="00610C56">
        <w:t>s</w:t>
      </w:r>
      <w:r>
        <w:t>onnes en situation irrégulière.</w:t>
      </w:r>
    </w:p>
    <w:p w14:paraId="727608E1" w14:textId="77777777" w:rsidR="00610C56" w:rsidRPr="0023551F" w:rsidRDefault="00610C56" w:rsidP="003555DB">
      <w:pPr>
        <w:pStyle w:val="Titre6"/>
        <w:numPr>
          <w:ilvl w:val="5"/>
          <w:numId w:val="16"/>
        </w:numPr>
      </w:pPr>
      <w:r w:rsidRPr="00610C56">
        <w:t>L’évolution des effectifs et leur profil (CNAM)</w:t>
      </w:r>
    </w:p>
    <w:p w14:paraId="353F8A23" w14:textId="77777777" w:rsidR="00610C56" w:rsidRPr="00610C56" w:rsidRDefault="00610C56" w:rsidP="0023551F">
      <w:pPr>
        <w:pStyle w:val="Titre7"/>
      </w:pPr>
      <w:r w:rsidRPr="00610C56">
        <w:t>Des effectifs de bénéficiaires en baisse depuis deux ans en métropole</w:t>
      </w:r>
    </w:p>
    <w:p w14:paraId="61A337DB" w14:textId="699D1781" w:rsidR="00610C56" w:rsidRPr="00610C56" w:rsidRDefault="00610C56" w:rsidP="00610C56">
      <w:pPr>
        <w:pStyle w:val="Corpsdetexte"/>
      </w:pPr>
      <w:r w:rsidRPr="00610C56">
        <w:t xml:space="preserve">A fin décembre 2017, le nombre de bénéficiaires de l’AME de droit commun en France s’établit à 315 835, nombre quasiment stable par rapport à fin 2016 (+0,5%). Sur le champ limité à la France métropolitaine, ce nombre est cependant en recul de </w:t>
      </w:r>
      <w:r w:rsidR="00BD6E36">
        <w:t>0,6</w:t>
      </w:r>
      <w:r w:rsidRPr="00610C56">
        <w:t xml:space="preserve">% par rapport à fin 2016 et de près de </w:t>
      </w:r>
      <w:r w:rsidR="00BD6E36">
        <w:t>3</w:t>
      </w:r>
      <w:r w:rsidRPr="00610C56">
        <w:t xml:space="preserve">% par rapport à fin 2015. En métropole, </w:t>
      </w:r>
      <w:r w:rsidR="00292EC9" w:rsidRPr="00292EC9">
        <w:t>286</w:t>
      </w:r>
      <w:r w:rsidR="00292EC9">
        <w:t> </w:t>
      </w:r>
      <w:r w:rsidR="00292EC9" w:rsidRPr="00292EC9">
        <w:t>669</w:t>
      </w:r>
      <w:r w:rsidR="00292EC9">
        <w:t xml:space="preserve"> </w:t>
      </w:r>
      <w:r w:rsidRPr="00610C56">
        <w:t xml:space="preserve">personnes bénéficient ainsi de l’AME fin 2017, contre </w:t>
      </w:r>
      <w:r w:rsidR="00292EC9" w:rsidRPr="00292EC9">
        <w:t>288</w:t>
      </w:r>
      <w:r w:rsidR="00292EC9">
        <w:t xml:space="preserve"> </w:t>
      </w:r>
      <w:r w:rsidR="00292EC9" w:rsidRPr="00292EC9">
        <w:t>269</w:t>
      </w:r>
      <w:r w:rsidR="00292EC9">
        <w:t xml:space="preserve"> fin 2016 et </w:t>
      </w:r>
      <w:r w:rsidR="00292EC9" w:rsidRPr="00292EC9">
        <w:t>295</w:t>
      </w:r>
      <w:r w:rsidR="00292EC9">
        <w:t xml:space="preserve"> </w:t>
      </w:r>
      <w:r w:rsidR="00292EC9" w:rsidRPr="00292EC9">
        <w:t>233</w:t>
      </w:r>
      <w:r w:rsidR="00292EC9">
        <w:t xml:space="preserve"> </w:t>
      </w:r>
      <w:r w:rsidRPr="00610C56">
        <w:t>fin 2015.</w:t>
      </w:r>
    </w:p>
    <w:p w14:paraId="4DA2AFEA" w14:textId="42C3E54C" w:rsidR="00610C56" w:rsidRPr="00610C56" w:rsidRDefault="00610C56" w:rsidP="00610C56">
      <w:pPr>
        <w:pStyle w:val="Corpsdetexte"/>
      </w:pPr>
      <w:r w:rsidRPr="00610C56">
        <w:t>Les bénéficiaires de l’AME sont par ailleurs concentrés sur certaines régions telles que l’Ile</w:t>
      </w:r>
      <w:r w:rsidR="00162260">
        <w:t>-</w:t>
      </w:r>
      <w:r w:rsidRPr="00610C56">
        <w:t>de</w:t>
      </w:r>
      <w:r w:rsidR="00162260">
        <w:t>-</w:t>
      </w:r>
      <w:r w:rsidRPr="00610C56">
        <w:t xml:space="preserve">France et la région </w:t>
      </w:r>
      <w:r w:rsidR="00162260" w:rsidRPr="00162260">
        <w:t xml:space="preserve">Provence-Alpes-Côte d'Azur </w:t>
      </w:r>
      <w:r w:rsidR="00162260">
        <w:t>(</w:t>
      </w:r>
      <w:r w:rsidRPr="00610C56">
        <w:t>P</w:t>
      </w:r>
      <w:r w:rsidR="00162260">
        <w:t>ACA)</w:t>
      </w:r>
      <w:r w:rsidRPr="00610C56">
        <w:t>.</w:t>
      </w:r>
    </w:p>
    <w:p w14:paraId="7543784D" w14:textId="3A64BDAB" w:rsidR="0023551F" w:rsidRDefault="0023551F" w:rsidP="0023551F">
      <w:pPr>
        <w:pStyle w:val="Lgende"/>
      </w:pPr>
      <w:r>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4</w:t>
      </w:r>
      <w:r w:rsidR="00AF653A">
        <w:rPr>
          <w:noProof/>
        </w:rPr>
        <w:fldChar w:fldCharType="end"/>
      </w:r>
      <w:r>
        <w:t xml:space="preserve"> – </w:t>
      </w:r>
      <w:r w:rsidRPr="0023551F">
        <w:t>Evolution des effectifs de bénéficiaires de l’</w:t>
      </w:r>
      <w:r w:rsidR="00162260">
        <w:t xml:space="preserve">AME </w:t>
      </w:r>
      <w:r w:rsidRPr="0023551F">
        <w:t>depuis 2008</w:t>
      </w:r>
    </w:p>
    <w:p w14:paraId="386B0913" w14:textId="77777777" w:rsidR="00610C56" w:rsidRPr="00610C56" w:rsidRDefault="00610C56" w:rsidP="00610C56">
      <w:pPr>
        <w:pStyle w:val="Corpsdetexte"/>
      </w:pPr>
      <w:r w:rsidRPr="00610C56">
        <w:rPr>
          <w:noProof/>
          <w:lang w:eastAsia="fr-FR"/>
        </w:rPr>
        <w:drawing>
          <wp:inline distT="0" distB="0" distL="0" distR="0" wp14:anchorId="1C21EEA0" wp14:editId="5CCC20E7">
            <wp:extent cx="4324350" cy="2680603"/>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1667" cy="2703735"/>
                    </a:xfrm>
                    <a:prstGeom prst="rect">
                      <a:avLst/>
                    </a:prstGeom>
                    <a:noFill/>
                    <a:ln>
                      <a:noFill/>
                    </a:ln>
                  </pic:spPr>
                </pic:pic>
              </a:graphicData>
            </a:graphic>
          </wp:inline>
        </w:drawing>
      </w:r>
    </w:p>
    <w:p w14:paraId="7D47F557" w14:textId="77777777" w:rsidR="00610C56" w:rsidRPr="00610C56" w:rsidRDefault="00610C56" w:rsidP="00610C56">
      <w:pPr>
        <w:pStyle w:val="Corpsdetexte"/>
      </w:pPr>
      <w:r w:rsidRPr="00610C56">
        <w:rPr>
          <w:noProof/>
          <w:lang w:eastAsia="fr-FR"/>
        </w:rPr>
        <w:lastRenderedPageBreak/>
        <w:drawing>
          <wp:inline distT="0" distB="0" distL="0" distR="0" wp14:anchorId="1E172146" wp14:editId="78644EB9">
            <wp:extent cx="4581525" cy="1916952"/>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9983" cy="1928859"/>
                    </a:xfrm>
                    <a:prstGeom prst="rect">
                      <a:avLst/>
                    </a:prstGeom>
                    <a:noFill/>
                  </pic:spPr>
                </pic:pic>
              </a:graphicData>
            </a:graphic>
          </wp:inline>
        </w:drawing>
      </w:r>
    </w:p>
    <w:p w14:paraId="4C9C09D5" w14:textId="77777777" w:rsidR="00610C56" w:rsidRPr="00610C56" w:rsidRDefault="00610C56" w:rsidP="0023551F">
      <w:pPr>
        <w:pStyle w:val="Sources"/>
      </w:pPr>
      <w:r w:rsidRPr="00610C56">
        <w:t>Source : CNAM</w:t>
      </w:r>
    </w:p>
    <w:p w14:paraId="19321AB4" w14:textId="77777777" w:rsidR="00610C56" w:rsidRPr="00610C56" w:rsidRDefault="00610C56" w:rsidP="0023551F">
      <w:pPr>
        <w:pStyle w:val="Titre7"/>
      </w:pPr>
      <w:r w:rsidRPr="00610C56">
        <w:t>Une population jeune par rapport à la population française</w:t>
      </w:r>
    </w:p>
    <w:p w14:paraId="32373B91" w14:textId="56CB71CD" w:rsidR="00610C56" w:rsidRPr="00610C56" w:rsidRDefault="00610C56" w:rsidP="00610C56">
      <w:pPr>
        <w:pStyle w:val="Corpsdetexte"/>
      </w:pPr>
      <w:r w:rsidRPr="00610C56">
        <w:t xml:space="preserve">Les titulaires de l’AME sont en moyenne beaucoup plus jeunes que la population générale avec un âge moyen est de 31,5 ans contre 41,4 ans pour la population générale. Cette population se compose en effet essentiellement de jeunes adultes. </w:t>
      </w:r>
      <w:r w:rsidR="00C82590">
        <w:t>Près de la moitié des bénéficiaires ont entre 20 et 40 ans, un quart entre 40 et 65 ans et plus de 20% sont mineurs, dont la moitié ont moins de 4 ans.</w:t>
      </w:r>
      <w:r w:rsidRPr="00610C56">
        <w:t xml:space="preserve"> (</w:t>
      </w:r>
      <w:r w:rsidRPr="00610C56">
        <w:rPr>
          <w:i/>
        </w:rPr>
        <w:t>cf.</w:t>
      </w:r>
      <w:r w:rsidRPr="00610C56">
        <w:t xml:space="preserve"> graphiques infra).</w:t>
      </w:r>
    </w:p>
    <w:p w14:paraId="0BF4EACB" w14:textId="55D9BACF" w:rsidR="00610C56" w:rsidRPr="00610C56" w:rsidRDefault="00610C56" w:rsidP="00610C56">
      <w:pPr>
        <w:pStyle w:val="Corpsdetexte"/>
      </w:pPr>
      <w:r w:rsidRPr="00610C56">
        <w:t xml:space="preserve">52,7% de la population </w:t>
      </w:r>
      <w:r w:rsidR="0093456E">
        <w:t>bénéficiaire de l’</w:t>
      </w:r>
      <w:r w:rsidRPr="00610C56">
        <w:t>AME a entre 25 et 44 ans</w:t>
      </w:r>
      <w:r w:rsidR="00162260">
        <w:t>,</w:t>
      </w:r>
      <w:r w:rsidRPr="00610C56">
        <w:t xml:space="preserve"> ce qui est deux fois plus élevé que pour la pop</w:t>
      </w:r>
      <w:r w:rsidRPr="00610C56">
        <w:t>u</w:t>
      </w:r>
      <w:r w:rsidRPr="00610C56">
        <w:t>lation générale (24,4%).</w:t>
      </w:r>
    </w:p>
    <w:p w14:paraId="4DE01B4D" w14:textId="513AD294" w:rsidR="00610C56" w:rsidRPr="00610C56" w:rsidRDefault="00610C56" w:rsidP="00610C56">
      <w:pPr>
        <w:pStyle w:val="Corpsdetexte"/>
      </w:pPr>
      <w:r w:rsidRPr="00610C56">
        <w:t xml:space="preserve">La population </w:t>
      </w:r>
      <w:r w:rsidR="0093456E">
        <w:t>bénéficiaire de l’</w:t>
      </w:r>
      <w:r w:rsidRPr="00610C56">
        <w:t xml:space="preserve">AME est globalement masculine avec 56% d’hommes contre 44% de femmes. On peut noter à titre d’illustration que parmi </w:t>
      </w:r>
      <w:r w:rsidR="0093456E">
        <w:t>cette population</w:t>
      </w:r>
      <w:r w:rsidRPr="00610C56">
        <w:t xml:space="preserve"> entre 25 et 44 ans (52,7%), 31,8% sont des hommes et 20,9% de femmes. Ce n’est que pour les tranches d’âge de 55 ans et plus que la population </w:t>
      </w:r>
      <w:r w:rsidR="00DF3628">
        <w:t>bénéficiaire de l’</w:t>
      </w:r>
      <w:r w:rsidRPr="00610C56">
        <w:t>AME dev</w:t>
      </w:r>
      <w:r w:rsidR="0023551F">
        <w:t xml:space="preserve">ient majoritairement féminine. </w:t>
      </w:r>
    </w:p>
    <w:p w14:paraId="29844399" w14:textId="4155BCD0" w:rsidR="0023551F" w:rsidRDefault="0023551F" w:rsidP="0023551F">
      <w:pPr>
        <w:pStyle w:val="Lgende"/>
      </w:pPr>
      <w:r>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5</w:t>
      </w:r>
      <w:r w:rsidR="00AF653A">
        <w:rPr>
          <w:noProof/>
        </w:rPr>
        <w:fldChar w:fldCharType="end"/>
      </w:r>
      <w:r>
        <w:t xml:space="preserve"> – </w:t>
      </w:r>
      <w:r w:rsidRPr="0023551F">
        <w:t>Fréquences cumulées des tranches d’âge des bénéficiaires de l’AME et de la population française au 31/12/2017</w:t>
      </w:r>
    </w:p>
    <w:tbl>
      <w:tblPr>
        <w:tblStyle w:val="Grilledutableau"/>
        <w:tblW w:w="9809" w:type="dxa"/>
        <w:tblBorders>
          <w:insideV w:val="none" w:sz="0" w:space="0" w:color="auto"/>
        </w:tblBorders>
        <w:tblLook w:val="04A0" w:firstRow="1" w:lastRow="0" w:firstColumn="1" w:lastColumn="0" w:noHBand="0" w:noVBand="1"/>
      </w:tblPr>
      <w:tblGrid>
        <w:gridCol w:w="4862"/>
        <w:gridCol w:w="4971"/>
      </w:tblGrid>
      <w:tr w:rsidR="00610C56" w:rsidRPr="00610C56" w14:paraId="14EA4AB0" w14:textId="77777777" w:rsidTr="0023551F">
        <w:tc>
          <w:tcPr>
            <w:cnfStyle w:val="001000000000" w:firstRow="0" w:lastRow="0" w:firstColumn="1" w:lastColumn="0" w:oddVBand="0" w:evenVBand="0" w:oddHBand="0" w:evenHBand="0" w:firstRowFirstColumn="0" w:firstRowLastColumn="0" w:lastRowFirstColumn="0" w:lastRowLastColumn="0"/>
            <w:tcW w:w="0" w:type="auto"/>
          </w:tcPr>
          <w:p w14:paraId="52220A44" w14:textId="77777777" w:rsidR="00610C56" w:rsidRPr="0023551F" w:rsidRDefault="00610C56" w:rsidP="00610C56">
            <w:pPr>
              <w:pStyle w:val="Corpsdetexte"/>
              <w:rPr>
                <w:rFonts w:asciiTheme="minorHAnsi" w:hAnsiTheme="minorHAnsi"/>
                <w:b/>
              </w:rPr>
            </w:pPr>
            <w:r w:rsidRPr="0023551F">
              <w:rPr>
                <w:rFonts w:asciiTheme="minorHAnsi" w:hAnsiTheme="minorHAnsi"/>
                <w:b/>
              </w:rPr>
              <w:t>Bénéficiaires de l’AME</w:t>
            </w:r>
          </w:p>
          <w:p w14:paraId="7EF0A9B1" w14:textId="77777777" w:rsidR="00610C56" w:rsidRPr="00610C56" w:rsidRDefault="00610C56" w:rsidP="00610C56">
            <w:pPr>
              <w:pStyle w:val="Corpsdetexte"/>
              <w:rPr>
                <w:b/>
              </w:rPr>
            </w:pPr>
            <w:r w:rsidRPr="00610C56">
              <w:rPr>
                <w:b/>
                <w:noProof/>
                <w:lang w:eastAsia="fr-FR"/>
              </w:rPr>
              <w:drawing>
                <wp:inline distT="0" distB="0" distL="0" distR="0" wp14:anchorId="3B2CF64F" wp14:editId="46F20C24">
                  <wp:extent cx="3149281" cy="18167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7383" cy="1827177"/>
                          </a:xfrm>
                          <a:prstGeom prst="rect">
                            <a:avLst/>
                          </a:prstGeom>
                          <a:noFill/>
                        </pic:spPr>
                      </pic:pic>
                    </a:graphicData>
                  </a:graphic>
                </wp:inline>
              </w:drawing>
            </w:r>
          </w:p>
        </w:tc>
        <w:tc>
          <w:tcPr>
            <w:tcW w:w="4959" w:type="dxa"/>
          </w:tcPr>
          <w:p w14:paraId="71AAE714" w14:textId="77777777" w:rsidR="00610C56" w:rsidRPr="00610C56" w:rsidRDefault="00610C56" w:rsidP="00610C56">
            <w:pPr>
              <w:pStyle w:val="Corpsdetexte"/>
              <w:cnfStyle w:val="000000000000" w:firstRow="0" w:lastRow="0" w:firstColumn="0" w:lastColumn="0" w:oddVBand="0" w:evenVBand="0" w:oddHBand="0" w:evenHBand="0" w:firstRowFirstColumn="0" w:firstRowLastColumn="0" w:lastRowFirstColumn="0" w:lastRowLastColumn="0"/>
              <w:rPr>
                <w:b/>
              </w:rPr>
            </w:pPr>
            <w:r w:rsidRPr="00610C56">
              <w:rPr>
                <w:b/>
              </w:rPr>
              <w:t>Population française</w:t>
            </w:r>
          </w:p>
          <w:p w14:paraId="446FED2A" w14:textId="77777777" w:rsidR="00610C56" w:rsidRPr="00610C56" w:rsidRDefault="00610C56" w:rsidP="00610C56">
            <w:pPr>
              <w:pStyle w:val="Corpsdetexte"/>
              <w:cnfStyle w:val="000000000000" w:firstRow="0" w:lastRow="0" w:firstColumn="0" w:lastColumn="0" w:oddVBand="0" w:evenVBand="0" w:oddHBand="0" w:evenHBand="0" w:firstRowFirstColumn="0" w:firstRowLastColumn="0" w:lastRowFirstColumn="0" w:lastRowLastColumn="0"/>
              <w:rPr>
                <w:b/>
              </w:rPr>
            </w:pPr>
            <w:r w:rsidRPr="00610C56">
              <w:rPr>
                <w:b/>
                <w:noProof/>
                <w:lang w:eastAsia="fr-FR"/>
              </w:rPr>
              <w:drawing>
                <wp:inline distT="0" distB="0" distL="0" distR="0" wp14:anchorId="4EC899F1" wp14:editId="00C69CBA">
                  <wp:extent cx="3226922" cy="1816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8117" cy="1873052"/>
                          </a:xfrm>
                          <a:prstGeom prst="rect">
                            <a:avLst/>
                          </a:prstGeom>
                          <a:noFill/>
                          <a:ln>
                            <a:noFill/>
                          </a:ln>
                        </pic:spPr>
                      </pic:pic>
                    </a:graphicData>
                  </a:graphic>
                </wp:inline>
              </w:drawing>
            </w:r>
          </w:p>
        </w:tc>
      </w:tr>
    </w:tbl>
    <w:p w14:paraId="7B400106" w14:textId="77777777" w:rsidR="00610C56" w:rsidRPr="00610C56" w:rsidRDefault="00610C56" w:rsidP="0023551F">
      <w:pPr>
        <w:pStyle w:val="Sources"/>
      </w:pPr>
      <w:r w:rsidRPr="00610C56">
        <w:t>Source INSEE, CNAM, champ France entière</w:t>
      </w:r>
    </w:p>
    <w:p w14:paraId="61744122" w14:textId="30987FC9" w:rsidR="0023551F" w:rsidRDefault="0023551F" w:rsidP="00E02A65">
      <w:pPr>
        <w:pStyle w:val="Lgende"/>
      </w:pPr>
      <w:r>
        <w:lastRenderedPageBreak/>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6</w:t>
      </w:r>
      <w:r w:rsidR="00AF653A">
        <w:rPr>
          <w:noProof/>
        </w:rPr>
        <w:fldChar w:fldCharType="end"/>
      </w:r>
      <w:r>
        <w:t xml:space="preserve"> </w:t>
      </w:r>
      <w:r w:rsidR="00E02A65">
        <w:t xml:space="preserve">– </w:t>
      </w:r>
      <w:r w:rsidR="00E02A65" w:rsidRPr="00E02A65">
        <w:t xml:space="preserve">Pyramide des âges de la population bénéficiaire de </w:t>
      </w:r>
      <w:r w:rsidR="00E02A65">
        <w:t>l’AME</w:t>
      </w:r>
    </w:p>
    <w:p w14:paraId="43F39C3A" w14:textId="77777777" w:rsidR="00610C56" w:rsidRPr="00610C56" w:rsidRDefault="00610C56" w:rsidP="00610C56">
      <w:pPr>
        <w:pStyle w:val="Corpsdetexte"/>
      </w:pPr>
      <w:r w:rsidRPr="00610C56">
        <w:rPr>
          <w:b/>
        </w:rPr>
        <w:t xml:space="preserve"> </w:t>
      </w:r>
      <w:r w:rsidRPr="00610C56">
        <w:rPr>
          <w:noProof/>
          <w:lang w:eastAsia="fr-FR"/>
        </w:rPr>
        <w:drawing>
          <wp:inline distT="0" distB="0" distL="0" distR="0" wp14:anchorId="5E774DCE" wp14:editId="21F0C78F">
            <wp:extent cx="3714750" cy="2644298"/>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884" cy="2714865"/>
                    </a:xfrm>
                    <a:prstGeom prst="rect">
                      <a:avLst/>
                    </a:prstGeom>
                    <a:noFill/>
                  </pic:spPr>
                </pic:pic>
              </a:graphicData>
            </a:graphic>
          </wp:inline>
        </w:drawing>
      </w:r>
    </w:p>
    <w:p w14:paraId="73BD45F8" w14:textId="77777777" w:rsidR="00610C56" w:rsidRPr="00610C56" w:rsidRDefault="00610C56" w:rsidP="0023551F">
      <w:pPr>
        <w:pStyle w:val="Sources"/>
      </w:pPr>
      <w:r w:rsidRPr="00610C56">
        <w:t>Source CNAM, champ France entière.</w:t>
      </w:r>
    </w:p>
    <w:p w14:paraId="3F322052" w14:textId="77777777" w:rsidR="00610C56" w:rsidRPr="00610C56" w:rsidRDefault="00610C56" w:rsidP="00610C56">
      <w:pPr>
        <w:pStyle w:val="Corpsdetexte"/>
        <w:rPr>
          <w:b/>
          <w:u w:val="single"/>
        </w:rPr>
      </w:pPr>
    </w:p>
    <w:p w14:paraId="1718EFD3" w14:textId="173BEB0E" w:rsidR="00610C56" w:rsidRPr="00610C56" w:rsidRDefault="00610C56" w:rsidP="00610C56">
      <w:pPr>
        <w:pStyle w:val="Titre6"/>
      </w:pPr>
      <w:r w:rsidRPr="00610C56">
        <w:t xml:space="preserve">Des </w:t>
      </w:r>
      <w:r w:rsidR="00663DFF">
        <w:t>soins essentiellement dispensés à</w:t>
      </w:r>
      <w:r w:rsidRPr="00610C56">
        <w:t xml:space="preserve"> l’hôpital</w:t>
      </w:r>
    </w:p>
    <w:p w14:paraId="32B526B4" w14:textId="35D7A37B" w:rsidR="00610C56" w:rsidRPr="00610C56" w:rsidRDefault="00610C56" w:rsidP="00610C56">
      <w:pPr>
        <w:pStyle w:val="Corpsdetexte"/>
      </w:pPr>
      <w:r w:rsidRPr="00610C56">
        <w:t xml:space="preserve">Les frais de séjour hospitaliers représentent les deux-tiers de la dépense de santé </w:t>
      </w:r>
      <w:r w:rsidR="00DF3628">
        <w:t>de la population bénéficiaire de l’</w:t>
      </w:r>
      <w:r w:rsidRPr="00610C56">
        <w:t>AME. En 201</w:t>
      </w:r>
      <w:r w:rsidR="00663DFF">
        <w:t>7</w:t>
      </w:r>
      <w:r w:rsidRPr="00610C56">
        <w:t xml:space="preserve">, près de </w:t>
      </w:r>
      <w:r w:rsidR="00663DFF">
        <w:t>73 000</w:t>
      </w:r>
      <w:r w:rsidRPr="00610C56">
        <w:t xml:space="preserve"> séjours </w:t>
      </w:r>
      <w:r w:rsidR="00663DFF">
        <w:t xml:space="preserve">et 37 000 séances </w:t>
      </w:r>
      <w:r w:rsidRPr="00610C56">
        <w:t>ont été enregistrés pour les bénéficiaires de l’AME. Le tiers restant des dépenses est consacré aux dépenses de santé en ville. Au se</w:t>
      </w:r>
      <w:r w:rsidR="00663DFF">
        <w:t>i</w:t>
      </w:r>
      <w:r w:rsidRPr="00610C56">
        <w:t>n de ce poste, les bénéf</w:t>
      </w:r>
      <w:r w:rsidRPr="00610C56">
        <w:t>i</w:t>
      </w:r>
      <w:r w:rsidRPr="00610C56">
        <w:t>ciaires de l’AME consomment principalement des médicaments (près de la moitié des dépenses remboursables des bénéf</w:t>
      </w:r>
      <w:r w:rsidRPr="00610C56">
        <w:t>i</w:t>
      </w:r>
      <w:r w:rsidRPr="00610C56">
        <w:t>ciaires de l’AME), les consultations médicales étant le seco</w:t>
      </w:r>
      <w:r w:rsidR="00E02A65">
        <w:t xml:space="preserve">nd poste. </w:t>
      </w:r>
    </w:p>
    <w:p w14:paraId="6A9A91F1" w14:textId="08E9CC19" w:rsidR="00610C56" w:rsidRPr="00610C56" w:rsidRDefault="00E02A65" w:rsidP="00E02A65">
      <w:pPr>
        <w:pStyle w:val="Lgende"/>
        <w:rPr>
          <w:b/>
        </w:rPr>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5</w:t>
      </w:r>
      <w:r w:rsidR="00AF653A">
        <w:rPr>
          <w:noProof/>
        </w:rPr>
        <w:fldChar w:fldCharType="end"/>
      </w:r>
      <w:r w:rsidR="001117D5">
        <w:t xml:space="preserve"> – </w:t>
      </w:r>
      <w:r w:rsidR="00610C56" w:rsidRPr="001117D5">
        <w:t>Nombre de séjours à l’hôpital par catégorie en 2016</w:t>
      </w:r>
    </w:p>
    <w:p w14:paraId="46DDC07D" w14:textId="77777777" w:rsidR="00610C56" w:rsidRPr="00610C56" w:rsidRDefault="00610C56" w:rsidP="00610C56">
      <w:pPr>
        <w:pStyle w:val="Corpsdetexte"/>
      </w:pPr>
    </w:p>
    <w:tbl>
      <w:tblPr>
        <w:tblW w:w="90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3"/>
        <w:gridCol w:w="923"/>
        <w:gridCol w:w="1713"/>
        <w:gridCol w:w="1086"/>
        <w:gridCol w:w="1275"/>
        <w:gridCol w:w="1668"/>
      </w:tblGrid>
      <w:tr w:rsidR="00610C56" w:rsidRPr="00610C56" w14:paraId="39D2B3B8" w14:textId="77777777" w:rsidTr="00854244">
        <w:trPr>
          <w:trHeight w:val="537"/>
        </w:trPr>
        <w:tc>
          <w:tcPr>
            <w:tcW w:w="2353" w:type="dxa"/>
            <w:shd w:val="clear" w:color="auto" w:fill="auto"/>
            <w:noWrap/>
            <w:vAlign w:val="center"/>
          </w:tcPr>
          <w:p w14:paraId="442E5181" w14:textId="77777777" w:rsidR="00610C56" w:rsidRPr="00610C56" w:rsidRDefault="00610C56" w:rsidP="00610C56">
            <w:pPr>
              <w:pStyle w:val="Corpsdetexte"/>
            </w:pPr>
          </w:p>
        </w:tc>
        <w:tc>
          <w:tcPr>
            <w:tcW w:w="923" w:type="dxa"/>
            <w:shd w:val="clear" w:color="auto" w:fill="auto"/>
            <w:noWrap/>
            <w:vAlign w:val="center"/>
          </w:tcPr>
          <w:p w14:paraId="3FF99063" w14:textId="77777777" w:rsidR="00610C56" w:rsidRPr="00610C56" w:rsidRDefault="00610C56" w:rsidP="00610C56">
            <w:pPr>
              <w:pStyle w:val="Corpsdetexte"/>
            </w:pPr>
            <w:r w:rsidRPr="00610C56">
              <w:t>AME</w:t>
            </w:r>
          </w:p>
        </w:tc>
        <w:tc>
          <w:tcPr>
            <w:tcW w:w="1713" w:type="dxa"/>
            <w:shd w:val="clear" w:color="auto" w:fill="auto"/>
            <w:noWrap/>
            <w:vAlign w:val="center"/>
          </w:tcPr>
          <w:p w14:paraId="64250D97" w14:textId="77777777" w:rsidR="00610C56" w:rsidRPr="00610C56" w:rsidRDefault="00610C56" w:rsidP="00610C56">
            <w:pPr>
              <w:pStyle w:val="Corpsdetexte"/>
            </w:pPr>
            <w:r w:rsidRPr="00610C56">
              <w:t>CMUC</w:t>
            </w:r>
          </w:p>
        </w:tc>
        <w:tc>
          <w:tcPr>
            <w:tcW w:w="1086" w:type="dxa"/>
            <w:shd w:val="clear" w:color="auto" w:fill="auto"/>
            <w:noWrap/>
            <w:vAlign w:val="center"/>
          </w:tcPr>
          <w:p w14:paraId="7C873BB5" w14:textId="77777777" w:rsidR="00610C56" w:rsidRPr="00610C56" w:rsidRDefault="00610C56" w:rsidP="00610C56">
            <w:pPr>
              <w:pStyle w:val="Corpsdetexte"/>
            </w:pPr>
            <w:r w:rsidRPr="00610C56">
              <w:t>SU</w:t>
            </w:r>
          </w:p>
        </w:tc>
        <w:tc>
          <w:tcPr>
            <w:tcW w:w="1275" w:type="dxa"/>
            <w:shd w:val="clear" w:color="auto" w:fill="auto"/>
            <w:noWrap/>
            <w:vAlign w:val="center"/>
          </w:tcPr>
          <w:p w14:paraId="6B0A977F" w14:textId="77777777" w:rsidR="00610C56" w:rsidRPr="00610C56" w:rsidRDefault="00610C56" w:rsidP="00610C56">
            <w:pPr>
              <w:pStyle w:val="Corpsdetexte"/>
            </w:pPr>
            <w:r w:rsidRPr="00610C56">
              <w:t>ACS</w:t>
            </w:r>
          </w:p>
        </w:tc>
        <w:tc>
          <w:tcPr>
            <w:tcW w:w="1668" w:type="dxa"/>
            <w:shd w:val="clear" w:color="auto" w:fill="auto"/>
            <w:noWrap/>
            <w:vAlign w:val="center"/>
          </w:tcPr>
          <w:p w14:paraId="1062D003" w14:textId="77777777" w:rsidR="00610C56" w:rsidRPr="00610C56" w:rsidRDefault="00610C56" w:rsidP="00610C56">
            <w:pPr>
              <w:pStyle w:val="Corpsdetexte"/>
            </w:pPr>
            <w:r w:rsidRPr="00610C56">
              <w:t>Total séjours</w:t>
            </w:r>
          </w:p>
        </w:tc>
      </w:tr>
      <w:tr w:rsidR="00610C56" w:rsidRPr="00610C56" w14:paraId="0254DBA2" w14:textId="77777777" w:rsidTr="0057371A">
        <w:trPr>
          <w:trHeight w:val="339"/>
        </w:trPr>
        <w:tc>
          <w:tcPr>
            <w:tcW w:w="2353" w:type="dxa"/>
            <w:shd w:val="clear" w:color="auto" w:fill="auto"/>
            <w:noWrap/>
            <w:vAlign w:val="center"/>
            <w:hideMark/>
          </w:tcPr>
          <w:p w14:paraId="63456F43" w14:textId="77777777" w:rsidR="00610C56" w:rsidRPr="00610C56" w:rsidRDefault="00610C56" w:rsidP="00610C56">
            <w:pPr>
              <w:pStyle w:val="Corpsdetexte"/>
            </w:pPr>
            <w:r w:rsidRPr="00610C56">
              <w:t>Etablissements privés</w:t>
            </w:r>
          </w:p>
        </w:tc>
        <w:tc>
          <w:tcPr>
            <w:tcW w:w="923" w:type="dxa"/>
            <w:shd w:val="clear" w:color="auto" w:fill="auto"/>
            <w:noWrap/>
            <w:vAlign w:val="center"/>
          </w:tcPr>
          <w:p w14:paraId="79CA39E0" w14:textId="2CA77389" w:rsidR="00610C56" w:rsidRPr="00610C56" w:rsidRDefault="00610C56" w:rsidP="00610C56">
            <w:pPr>
              <w:pStyle w:val="Corpsdetexte"/>
            </w:pPr>
          </w:p>
        </w:tc>
        <w:tc>
          <w:tcPr>
            <w:tcW w:w="1713" w:type="dxa"/>
            <w:shd w:val="clear" w:color="auto" w:fill="auto"/>
            <w:noWrap/>
            <w:vAlign w:val="center"/>
            <w:hideMark/>
          </w:tcPr>
          <w:p w14:paraId="5E1B2CBA" w14:textId="77777777" w:rsidR="00610C56" w:rsidRPr="00610C56" w:rsidRDefault="00610C56" w:rsidP="00610C56">
            <w:pPr>
              <w:pStyle w:val="Corpsdetexte"/>
            </w:pPr>
            <w:r w:rsidRPr="00610C56">
              <w:t>460 845</w:t>
            </w:r>
          </w:p>
        </w:tc>
        <w:tc>
          <w:tcPr>
            <w:tcW w:w="1086" w:type="dxa"/>
            <w:shd w:val="clear" w:color="auto" w:fill="auto"/>
            <w:noWrap/>
            <w:vAlign w:val="center"/>
            <w:hideMark/>
          </w:tcPr>
          <w:p w14:paraId="538FBA34" w14:textId="77777777" w:rsidR="00610C56" w:rsidRPr="00610C56" w:rsidRDefault="00610C56" w:rsidP="00610C56">
            <w:pPr>
              <w:pStyle w:val="Corpsdetexte"/>
            </w:pPr>
            <w:r w:rsidRPr="00610C56">
              <w:t>0</w:t>
            </w:r>
          </w:p>
        </w:tc>
        <w:tc>
          <w:tcPr>
            <w:tcW w:w="1275" w:type="dxa"/>
            <w:shd w:val="clear" w:color="auto" w:fill="auto"/>
            <w:noWrap/>
            <w:vAlign w:val="center"/>
            <w:hideMark/>
          </w:tcPr>
          <w:p w14:paraId="4BE7468A" w14:textId="77777777" w:rsidR="00610C56" w:rsidRPr="00610C56" w:rsidRDefault="00610C56" w:rsidP="00610C56">
            <w:pPr>
              <w:pStyle w:val="Corpsdetexte"/>
            </w:pPr>
            <w:r w:rsidRPr="00610C56">
              <w:t>107 594</w:t>
            </w:r>
          </w:p>
        </w:tc>
        <w:tc>
          <w:tcPr>
            <w:tcW w:w="1668" w:type="dxa"/>
            <w:shd w:val="clear" w:color="auto" w:fill="auto"/>
            <w:noWrap/>
            <w:vAlign w:val="center"/>
            <w:hideMark/>
          </w:tcPr>
          <w:p w14:paraId="0289FA52" w14:textId="77777777" w:rsidR="00610C56" w:rsidRPr="00610C56" w:rsidRDefault="00610C56" w:rsidP="00610C56">
            <w:pPr>
              <w:pStyle w:val="Corpsdetexte"/>
            </w:pPr>
            <w:r w:rsidRPr="00610C56">
              <w:t>583 126</w:t>
            </w:r>
          </w:p>
        </w:tc>
      </w:tr>
      <w:tr w:rsidR="00610C56" w:rsidRPr="00610C56" w14:paraId="2BA86FCE" w14:textId="77777777" w:rsidTr="0057371A">
        <w:trPr>
          <w:trHeight w:val="347"/>
        </w:trPr>
        <w:tc>
          <w:tcPr>
            <w:tcW w:w="2353" w:type="dxa"/>
            <w:shd w:val="clear" w:color="auto" w:fill="auto"/>
            <w:noWrap/>
            <w:vAlign w:val="center"/>
            <w:hideMark/>
          </w:tcPr>
          <w:p w14:paraId="0C7A800B" w14:textId="77777777" w:rsidR="00610C56" w:rsidRPr="00610C56" w:rsidRDefault="00610C56" w:rsidP="00610C56">
            <w:pPr>
              <w:pStyle w:val="Corpsdetexte"/>
            </w:pPr>
            <w:r w:rsidRPr="00610C56">
              <w:t>Etablissements publics</w:t>
            </w:r>
          </w:p>
        </w:tc>
        <w:tc>
          <w:tcPr>
            <w:tcW w:w="923" w:type="dxa"/>
            <w:shd w:val="clear" w:color="auto" w:fill="auto"/>
            <w:noWrap/>
            <w:vAlign w:val="center"/>
          </w:tcPr>
          <w:p w14:paraId="528ED439" w14:textId="2F081E0C" w:rsidR="00610C56" w:rsidRPr="00610C56" w:rsidRDefault="00610C56" w:rsidP="00610C56">
            <w:pPr>
              <w:pStyle w:val="Corpsdetexte"/>
            </w:pPr>
          </w:p>
        </w:tc>
        <w:tc>
          <w:tcPr>
            <w:tcW w:w="1713" w:type="dxa"/>
            <w:shd w:val="clear" w:color="auto" w:fill="auto"/>
            <w:noWrap/>
            <w:vAlign w:val="center"/>
            <w:hideMark/>
          </w:tcPr>
          <w:p w14:paraId="4C7063B2" w14:textId="77777777" w:rsidR="00610C56" w:rsidRPr="00610C56" w:rsidRDefault="00610C56" w:rsidP="00610C56">
            <w:pPr>
              <w:pStyle w:val="Corpsdetexte"/>
            </w:pPr>
            <w:r w:rsidRPr="00610C56">
              <w:t>1 284 454</w:t>
            </w:r>
          </w:p>
        </w:tc>
        <w:tc>
          <w:tcPr>
            <w:tcW w:w="1086" w:type="dxa"/>
            <w:shd w:val="clear" w:color="auto" w:fill="auto"/>
            <w:noWrap/>
            <w:vAlign w:val="center"/>
          </w:tcPr>
          <w:p w14:paraId="0EAD74E4" w14:textId="65756C94" w:rsidR="00610C56" w:rsidRPr="00610C56" w:rsidRDefault="00610C56" w:rsidP="00610C56">
            <w:pPr>
              <w:pStyle w:val="Corpsdetexte"/>
            </w:pPr>
          </w:p>
        </w:tc>
        <w:tc>
          <w:tcPr>
            <w:tcW w:w="1275" w:type="dxa"/>
            <w:shd w:val="clear" w:color="auto" w:fill="auto"/>
            <w:noWrap/>
            <w:vAlign w:val="center"/>
            <w:hideMark/>
          </w:tcPr>
          <w:p w14:paraId="2F69FE69" w14:textId="77777777" w:rsidR="00610C56" w:rsidRPr="00610C56" w:rsidRDefault="00610C56" w:rsidP="00610C56">
            <w:pPr>
              <w:pStyle w:val="Corpsdetexte"/>
            </w:pPr>
            <w:r w:rsidRPr="00610C56">
              <w:t>325 197</w:t>
            </w:r>
          </w:p>
        </w:tc>
        <w:tc>
          <w:tcPr>
            <w:tcW w:w="1668" w:type="dxa"/>
            <w:shd w:val="clear" w:color="auto" w:fill="auto"/>
            <w:noWrap/>
            <w:vAlign w:val="center"/>
            <w:hideMark/>
          </w:tcPr>
          <w:p w14:paraId="1051C2BC" w14:textId="77777777" w:rsidR="00610C56" w:rsidRPr="00610C56" w:rsidRDefault="00610C56" w:rsidP="00610C56">
            <w:pPr>
              <w:pStyle w:val="Corpsdetexte"/>
            </w:pPr>
            <w:r w:rsidRPr="00610C56">
              <w:t>1 702 522</w:t>
            </w:r>
          </w:p>
        </w:tc>
      </w:tr>
      <w:tr w:rsidR="00610C56" w:rsidRPr="00610C56" w14:paraId="36151369" w14:textId="77777777" w:rsidTr="0057371A">
        <w:trPr>
          <w:trHeight w:val="537"/>
        </w:trPr>
        <w:tc>
          <w:tcPr>
            <w:tcW w:w="2353" w:type="dxa"/>
            <w:shd w:val="clear" w:color="auto" w:fill="auto"/>
            <w:noWrap/>
            <w:vAlign w:val="center"/>
            <w:hideMark/>
          </w:tcPr>
          <w:p w14:paraId="77D5EC94" w14:textId="77777777" w:rsidR="00610C56" w:rsidRPr="00610C56" w:rsidRDefault="00610C56" w:rsidP="00610C56">
            <w:pPr>
              <w:pStyle w:val="Corpsdetexte"/>
            </w:pPr>
            <w:r w:rsidRPr="00610C56">
              <w:t>Total national des séjours</w:t>
            </w:r>
          </w:p>
        </w:tc>
        <w:tc>
          <w:tcPr>
            <w:tcW w:w="923" w:type="dxa"/>
            <w:shd w:val="clear" w:color="auto" w:fill="auto"/>
            <w:noWrap/>
            <w:vAlign w:val="center"/>
          </w:tcPr>
          <w:p w14:paraId="64E1D330" w14:textId="64D348C6" w:rsidR="00610C56" w:rsidRPr="00610C56" w:rsidRDefault="00610C56" w:rsidP="00610C56">
            <w:pPr>
              <w:pStyle w:val="Corpsdetexte"/>
            </w:pPr>
          </w:p>
        </w:tc>
        <w:tc>
          <w:tcPr>
            <w:tcW w:w="1713" w:type="dxa"/>
            <w:shd w:val="clear" w:color="auto" w:fill="auto"/>
            <w:noWrap/>
            <w:vAlign w:val="center"/>
            <w:hideMark/>
          </w:tcPr>
          <w:p w14:paraId="466FC828" w14:textId="77777777" w:rsidR="00610C56" w:rsidRPr="00610C56" w:rsidRDefault="00610C56" w:rsidP="00610C56">
            <w:pPr>
              <w:pStyle w:val="Corpsdetexte"/>
            </w:pPr>
            <w:r w:rsidRPr="00610C56">
              <w:t>1 745 299</w:t>
            </w:r>
          </w:p>
        </w:tc>
        <w:tc>
          <w:tcPr>
            <w:tcW w:w="1086" w:type="dxa"/>
            <w:shd w:val="clear" w:color="auto" w:fill="auto"/>
            <w:noWrap/>
            <w:vAlign w:val="center"/>
          </w:tcPr>
          <w:p w14:paraId="495E79B4" w14:textId="189BBA0F" w:rsidR="00610C56" w:rsidRPr="00610C56" w:rsidRDefault="00610C56" w:rsidP="00610C56">
            <w:pPr>
              <w:pStyle w:val="Corpsdetexte"/>
            </w:pPr>
          </w:p>
        </w:tc>
        <w:tc>
          <w:tcPr>
            <w:tcW w:w="1275" w:type="dxa"/>
            <w:shd w:val="clear" w:color="auto" w:fill="auto"/>
            <w:noWrap/>
            <w:vAlign w:val="center"/>
            <w:hideMark/>
          </w:tcPr>
          <w:p w14:paraId="486FB9B2" w14:textId="77777777" w:rsidR="00610C56" w:rsidRPr="00610C56" w:rsidRDefault="00610C56" w:rsidP="00610C56">
            <w:pPr>
              <w:pStyle w:val="Corpsdetexte"/>
            </w:pPr>
            <w:r w:rsidRPr="00610C56">
              <w:t>432 791</w:t>
            </w:r>
          </w:p>
        </w:tc>
        <w:tc>
          <w:tcPr>
            <w:tcW w:w="1668" w:type="dxa"/>
            <w:shd w:val="clear" w:color="auto" w:fill="auto"/>
            <w:noWrap/>
            <w:vAlign w:val="center"/>
            <w:hideMark/>
          </w:tcPr>
          <w:p w14:paraId="0133AA33" w14:textId="77777777" w:rsidR="00610C56" w:rsidRPr="00610C56" w:rsidRDefault="00610C56" w:rsidP="00610C56">
            <w:pPr>
              <w:pStyle w:val="Corpsdetexte"/>
            </w:pPr>
            <w:r w:rsidRPr="00610C56">
              <w:t>2 285 648</w:t>
            </w:r>
          </w:p>
        </w:tc>
      </w:tr>
    </w:tbl>
    <w:p w14:paraId="6196756A" w14:textId="77777777" w:rsidR="00610C56" w:rsidRPr="00610C56" w:rsidRDefault="00610C56" w:rsidP="001117D5">
      <w:pPr>
        <w:pStyle w:val="Sources"/>
      </w:pPr>
      <w:r w:rsidRPr="00610C56">
        <w:t>Source : DGOS</w:t>
      </w:r>
    </w:p>
    <w:p w14:paraId="5AF97053" w14:textId="72AFDBCE" w:rsidR="00610C56" w:rsidRPr="00610C56" w:rsidRDefault="00610C56" w:rsidP="00610C56">
      <w:pPr>
        <w:pStyle w:val="Corpsdetexte"/>
      </w:pPr>
    </w:p>
    <w:p w14:paraId="2E56FE7D" w14:textId="77777777" w:rsidR="00205D67" w:rsidRPr="00205D67" w:rsidRDefault="00205D67" w:rsidP="00CD557F">
      <w:pPr>
        <w:pStyle w:val="Titre2Annexes"/>
        <w:ind w:left="0"/>
      </w:pPr>
      <w:bookmarkStart w:id="527" w:name="_Toc523327726"/>
      <w:r w:rsidRPr="00205D67">
        <w:lastRenderedPageBreak/>
        <w:t>Comparaison des garanties CMU-C, ACS, AME</w:t>
      </w:r>
      <w:bookmarkEnd w:id="527"/>
    </w:p>
    <w:p w14:paraId="5A6DCF2F" w14:textId="77777777" w:rsidR="00205D67" w:rsidRPr="00205D67" w:rsidRDefault="00205D67" w:rsidP="00205D67">
      <w:pPr>
        <w:pStyle w:val="Corpsdetexte"/>
      </w:pPr>
    </w:p>
    <w:p w14:paraId="41B22CBE" w14:textId="77777777" w:rsidR="00205D67" w:rsidRPr="00205D67" w:rsidRDefault="00205D67" w:rsidP="00205D67">
      <w:pPr>
        <w:pStyle w:val="Corpsdetexte"/>
      </w:pPr>
      <w:r w:rsidRPr="00205D67">
        <w:rPr>
          <w:noProof/>
          <w:lang w:eastAsia="fr-FR"/>
        </w:rPr>
        <w:drawing>
          <wp:inline distT="0" distB="0" distL="0" distR="0" wp14:anchorId="743BB102" wp14:editId="31028CBE">
            <wp:extent cx="5955665" cy="6775602"/>
            <wp:effectExtent l="0" t="0" r="6985"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5665" cy="6775602"/>
                    </a:xfrm>
                    <a:prstGeom prst="rect">
                      <a:avLst/>
                    </a:prstGeom>
                    <a:noFill/>
                    <a:ln>
                      <a:noFill/>
                    </a:ln>
                  </pic:spPr>
                </pic:pic>
              </a:graphicData>
            </a:graphic>
          </wp:inline>
        </w:drawing>
      </w:r>
    </w:p>
    <w:p w14:paraId="6B6B59BA" w14:textId="77777777" w:rsidR="00205D67" w:rsidRPr="00205D67" w:rsidRDefault="00205D67" w:rsidP="00205D67">
      <w:pPr>
        <w:pStyle w:val="Corpsdetexte"/>
        <w:rPr>
          <w:b/>
          <w:bCs/>
        </w:rPr>
      </w:pPr>
      <w:r w:rsidRPr="00205D67">
        <w:br w:type="page"/>
      </w:r>
    </w:p>
    <w:p w14:paraId="105E1335" w14:textId="1F5269E8" w:rsidR="00C87799" w:rsidRDefault="00C87799" w:rsidP="00CD557F">
      <w:pPr>
        <w:pStyle w:val="Titre2Annexes"/>
        <w:ind w:left="0"/>
      </w:pPr>
      <w:bookmarkStart w:id="528" w:name="_Toc523327727"/>
      <w:r>
        <w:lastRenderedPageBreak/>
        <w:t>Synthèse du r</w:t>
      </w:r>
      <w:r w:rsidRPr="00BE7D44">
        <w:t>apport sur l’aide au paiement d’une complémentaire santé</w:t>
      </w:r>
      <w:bookmarkEnd w:id="528"/>
      <w:r>
        <w:t xml:space="preserve"> </w:t>
      </w:r>
    </w:p>
    <w:p w14:paraId="04139B9E" w14:textId="77777777" w:rsidR="00C87799" w:rsidRDefault="00C87799" w:rsidP="003555DB">
      <w:pPr>
        <w:pStyle w:val="Titre6"/>
        <w:numPr>
          <w:ilvl w:val="5"/>
          <w:numId w:val="17"/>
        </w:numPr>
      </w:pPr>
      <w:r>
        <w:t xml:space="preserve"> </w:t>
      </w:r>
      <w:r w:rsidRPr="00BE7D44">
        <w:t>Les effectifs couverts par les contrats ACS progressent à un rythme soutenu, mais environ 20% des « chèques » ACS ne sont pas utilisés, avec des différences importantes entre départements</w:t>
      </w:r>
    </w:p>
    <w:p w14:paraId="312B0285" w14:textId="3F67CF02" w:rsidR="00C87799" w:rsidRPr="00BE7D44" w:rsidRDefault="00C87799" w:rsidP="00C87799">
      <w:pPr>
        <w:pStyle w:val="Corpsdetexte"/>
      </w:pPr>
      <w:r w:rsidRPr="00BE7D44">
        <w:t>À fin août 2017, les effectifs protégés par les trois contrats ACS progressent toujours à un rythme soutenu : +8% en un an. Les contrats ACS couvrent 1,17 million de personnes.</w:t>
      </w:r>
    </w:p>
    <w:p w14:paraId="5A0C7950" w14:textId="04E1E496" w:rsidR="00C87799" w:rsidRPr="00BE7D44" w:rsidRDefault="00C87799" w:rsidP="00C87799">
      <w:pPr>
        <w:pStyle w:val="Corpsdetexte"/>
      </w:pPr>
      <w:r w:rsidRPr="00BE7D44">
        <w:t>Cependant, les « chèques » ACS ne sont effectivement utilisés pour souscrire un contrat privé de complémentaire santé que dans 77% des cas en moyenne. Ce taux d’utilisation augmente avec l’âge, pour atteindre 91% pour les personnes âgées de 70 ans et plus. Plus les personnes sont âgées, plus elles semblent installées durablement dans le dispositif ACS. Parmi les plus âgées, un bon nombre bénéficie en effet de l’ASPA. Une fois ces personnes entrées dans le dispositif ACS, la stabilité de leurs ressources liées au vers</w:t>
      </w:r>
      <w:r w:rsidRPr="00BE7D44">
        <w:t>e</w:t>
      </w:r>
      <w:r w:rsidRPr="00BE7D44">
        <w:t>ment de l’ASPA contribue à les y maintenir.</w:t>
      </w:r>
    </w:p>
    <w:p w14:paraId="2B96D977" w14:textId="63A577CD" w:rsidR="00C87799" w:rsidRPr="00BE7D44" w:rsidRDefault="00C87799" w:rsidP="00C87799">
      <w:pPr>
        <w:pStyle w:val="Corpsdetexte"/>
      </w:pPr>
      <w:r w:rsidRPr="00BE7D44">
        <w:t>La situation est également contrastée sur le territoire. Le taux d’utilisation des attestations ACS varie de 47,4% à 91,2% selon le département. Il est généralement le plus faible dans les départements où la densité de population générale est importante et notamment dans toute l’Île-de-France et dans les Bouches-du-Rhône. À l’inverse, il est globalement le plus élevé dans des départements ruraux à faible densité de population.</w:t>
      </w:r>
    </w:p>
    <w:p w14:paraId="7FE60E74" w14:textId="77777777" w:rsidR="00C87799" w:rsidRPr="00BE7D44" w:rsidRDefault="00C87799" w:rsidP="00C87799">
      <w:pPr>
        <w:pStyle w:val="Titre6"/>
      </w:pPr>
      <w:bookmarkStart w:id="529" w:name="_Toc494971208"/>
      <w:r w:rsidRPr="00BE7D44">
        <w:t>La réforme de 2015 s’est traduite par une baisse significative du prix des contrats et une hausse des garanties souscrites</w:t>
      </w:r>
      <w:bookmarkEnd w:id="529"/>
      <w:r w:rsidRPr="00BE7D44">
        <w:t xml:space="preserve"> par les bénéficiaires de l’ACS</w:t>
      </w:r>
    </w:p>
    <w:p w14:paraId="37C563D0" w14:textId="5DF1EAD5" w:rsidR="00C87799" w:rsidRPr="00BE7D44" w:rsidRDefault="00C87799" w:rsidP="00C87799">
      <w:pPr>
        <w:pStyle w:val="Titre7"/>
      </w:pPr>
      <w:r>
        <w:t>Le prix des contrats a baissé en moyenne de 11% depuis la mise en place de la réforme</w:t>
      </w:r>
      <w:r w:rsidRPr="00BE7D44">
        <w:t xml:space="preserve"> </w:t>
      </w:r>
    </w:p>
    <w:p w14:paraId="2A92FD27" w14:textId="1451C99C" w:rsidR="00C87799" w:rsidRPr="00BE7D44" w:rsidRDefault="00C87799" w:rsidP="00C87799">
      <w:pPr>
        <w:pStyle w:val="Corpsdetexte"/>
      </w:pPr>
      <w:r w:rsidRPr="00BE7D44">
        <w:t xml:space="preserve">Au 31 décembre 2016, le prix moyen des contrats souscrits s’établit à 819 </w:t>
      </w:r>
      <w:r w:rsidR="009C3ADC">
        <w:t>euros</w:t>
      </w:r>
      <w:r w:rsidRPr="00BE7D44">
        <w:t xml:space="preserve"> pour 1,61 personne couverte en moyenne, soit 509 </w:t>
      </w:r>
      <w:r w:rsidR="009C3ADC">
        <w:t>euros</w:t>
      </w:r>
      <w:r w:rsidRPr="00BE7D44">
        <w:t xml:space="preserve"> par an et par personne.</w:t>
      </w:r>
    </w:p>
    <w:p w14:paraId="64068BCB" w14:textId="20B02E0E" w:rsidR="00C87799" w:rsidRPr="00BE7D44" w:rsidRDefault="00C87799" w:rsidP="00C87799">
      <w:pPr>
        <w:pStyle w:val="Corpsdetexte"/>
      </w:pPr>
      <w:r w:rsidRPr="00BE7D44">
        <w:t>En moyenne, 63% du prix du contrat est pris en charge par l’ACS.</w:t>
      </w:r>
    </w:p>
    <w:p w14:paraId="6A2DE7A6" w14:textId="18221016" w:rsidR="00C87799" w:rsidRPr="00BE7D44" w:rsidRDefault="00C87799" w:rsidP="00C87799">
      <w:pPr>
        <w:pStyle w:val="Corpsdetexte"/>
      </w:pPr>
      <w:r w:rsidRPr="00BE7D44">
        <w:t>Par rapport à la situation avant la réforme, le prix du contrat a baissé de 10,6%. Le montant moyen de la cotisation restant à la charge des bénéficiaires a diminué de 27,5%. Dans le même temps, l’effet a été significatif sur le taux d’effort qui a baissé de 30% pour s’établir à 2,7% (3,9% à fin 2014).</w:t>
      </w:r>
    </w:p>
    <w:p w14:paraId="7E1CC3A3" w14:textId="77777777" w:rsidR="00C87799" w:rsidRPr="00BE7D44" w:rsidRDefault="00C87799" w:rsidP="00C87799">
      <w:pPr>
        <w:pStyle w:val="Corpsdetexte"/>
      </w:pPr>
      <w:r w:rsidRPr="00BE7D44">
        <w:t>Ce sont cependant toujours les plus âgés qui sont confrontés aux restes à charge les plus élevés sur le prix du co</w:t>
      </w:r>
      <w:r w:rsidRPr="00BE7D44">
        <w:t>n</w:t>
      </w:r>
      <w:r w:rsidRPr="00BE7D44">
        <w:t>trat. En effet, la prime augmente significativement avec l’âge alors que le montant de l’ACS reste stable après 60 ans.</w:t>
      </w:r>
    </w:p>
    <w:p w14:paraId="308A397B" w14:textId="77777777" w:rsidR="00C87799" w:rsidRPr="00BE7D44" w:rsidRDefault="00C87799" w:rsidP="00C87799">
      <w:pPr>
        <w:pStyle w:val="Titre7"/>
      </w:pPr>
      <w:r w:rsidRPr="00BE7D44">
        <w:t>Le niveau de garantie moyen des contrats ACS s’est amélioré</w:t>
      </w:r>
    </w:p>
    <w:p w14:paraId="41CBE180" w14:textId="77777777" w:rsidR="00C87799" w:rsidRPr="00BE7D44" w:rsidRDefault="00C87799" w:rsidP="00C87799">
      <w:pPr>
        <w:pStyle w:val="Corpsdetexte"/>
      </w:pPr>
      <w:r w:rsidRPr="00BE7D44">
        <w:t>Les garanties des contrats ACS étant relativement limitées au regard des contrats individuels du marché, l’application directe de la typologie de la DREES</w:t>
      </w:r>
      <w:r w:rsidRPr="00BE7D44">
        <w:rPr>
          <w:vertAlign w:val="superscript"/>
        </w:rPr>
        <w:footnoteReference w:id="76"/>
      </w:r>
      <w:r w:rsidRPr="00BE7D44">
        <w:t xml:space="preserve"> à ces derniers aboutit au classement suivant : les contrats A sont classés dans la catégorie des contrats les moins couvrants de la typologie de la DREES (classe E), les contrats B en D et les contrats C en C.</w:t>
      </w:r>
    </w:p>
    <w:p w14:paraId="4596BFB8" w14:textId="77777777" w:rsidR="00C87799" w:rsidRPr="00BE7D44" w:rsidRDefault="00C87799" w:rsidP="00C87799">
      <w:pPr>
        <w:pStyle w:val="Corpsdetexte"/>
      </w:pPr>
      <w:r w:rsidRPr="00BE7D44">
        <w:t>Avant la réforme de juillet 2015, les bénéficiaires choisissaient sur le marché majoritairement des contrats classés en D ou E. Or, depuis la mise en place des trois nouveaux contrats, les bénéficiaires de l’ACS se sont tournés maj</w:t>
      </w:r>
      <w:r w:rsidRPr="00BE7D44">
        <w:t>o</w:t>
      </w:r>
      <w:r w:rsidRPr="00BE7D44">
        <w:t xml:space="preserve">ritairement vers les contrats C et B, respectivement classés en C et D selon la typologie de la DREES. Ils ont ainsi bénéficié d’une amélioration de leur couverture. </w:t>
      </w:r>
    </w:p>
    <w:p w14:paraId="4345D5FA" w14:textId="77777777" w:rsidR="00C87799" w:rsidRPr="00BE7D44" w:rsidRDefault="00C87799" w:rsidP="00C87799">
      <w:pPr>
        <w:pStyle w:val="Titre6"/>
      </w:pPr>
      <w:r>
        <w:lastRenderedPageBreak/>
        <w:t xml:space="preserve"> </w:t>
      </w:r>
      <w:r w:rsidRPr="00BE7D44">
        <w:t>La prise en compte des tarifs opposables améliore le niveau de garantie des contrats ACS</w:t>
      </w:r>
      <w:r w:rsidRPr="00BE7D44">
        <w:tab/>
      </w:r>
    </w:p>
    <w:p w14:paraId="692EB361" w14:textId="77777777" w:rsidR="00C87799" w:rsidRPr="00BE7D44" w:rsidRDefault="00C87799" w:rsidP="00C87799">
      <w:pPr>
        <w:pStyle w:val="Corpsdetexte"/>
      </w:pPr>
      <w:r w:rsidRPr="00BE7D44">
        <w:t>L’application de l’opposabilité des tarifs des médecins a un effet significatif sur le niveau de garantie des contrats ACS.</w:t>
      </w:r>
    </w:p>
    <w:p w14:paraId="3FA48F18" w14:textId="77777777" w:rsidR="00C87799" w:rsidRPr="00BE7D44" w:rsidRDefault="00C87799" w:rsidP="00C87799">
      <w:pPr>
        <w:pStyle w:val="Corpsdetexte"/>
      </w:pPr>
      <w:r w:rsidRPr="00BE7D44">
        <w:t>La DREES a développé une méthode permettant de prendre en compte l’avantage lié à l’interdiction de dépass</w:t>
      </w:r>
      <w:r w:rsidRPr="00BE7D44">
        <w:t>e</w:t>
      </w:r>
      <w:r w:rsidRPr="00BE7D44">
        <w:t>ments d’honoraires dans la typologie des contrats. Ces travaux montrent que la mesure d’opposabilité des tarifs assure aux bénéficiaires de l’ACS un niveau de couverture moyen nettement supérieur à ceux constatés sur le ma</w:t>
      </w:r>
      <w:r w:rsidRPr="00BE7D44">
        <w:t>r</w:t>
      </w:r>
      <w:r w:rsidRPr="00BE7D44">
        <w:t>ché individuel. Pour autant, l’opposabilité des tarifs ne semble pas toujours appliquée (</w:t>
      </w:r>
      <w:r w:rsidRPr="00BE7D44">
        <w:rPr>
          <w:i/>
        </w:rPr>
        <w:t>cf. infra</w:t>
      </w:r>
      <w:r w:rsidRPr="00BE7D44">
        <w:t>).</w:t>
      </w:r>
    </w:p>
    <w:p w14:paraId="2712530D" w14:textId="17690113" w:rsidR="00C87799" w:rsidRPr="00BE7D44" w:rsidRDefault="00C87799" w:rsidP="00C87799">
      <w:pPr>
        <w:pStyle w:val="Lgende"/>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7</w:t>
      </w:r>
      <w:r w:rsidR="00AF653A">
        <w:rPr>
          <w:noProof/>
        </w:rPr>
        <w:fldChar w:fldCharType="end"/>
      </w:r>
      <w:r w:rsidRPr="00BE7D44">
        <w:t xml:space="preserve"> – Répartition des contrats ACS dans la classification DREES – Situation comparative selon la prise en compte de l’opposabilité des tarifs des médecins</w:t>
      </w:r>
    </w:p>
    <w:p w14:paraId="0508F092" w14:textId="77777777" w:rsidR="00C87799" w:rsidRPr="00BE7D44" w:rsidRDefault="00C87799" w:rsidP="00C87799">
      <w:pPr>
        <w:pStyle w:val="Corpsdetexte"/>
      </w:pPr>
      <w:r w:rsidRPr="00BE7D44">
        <w:rPr>
          <w:noProof/>
          <w:lang w:eastAsia="fr-FR"/>
        </w:rPr>
        <w:drawing>
          <wp:inline distT="0" distB="0" distL="0" distR="0" wp14:anchorId="49DE27F8" wp14:editId="6AB031DA">
            <wp:extent cx="4495800" cy="1657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1657350"/>
                    </a:xfrm>
                    <a:prstGeom prst="rect">
                      <a:avLst/>
                    </a:prstGeom>
                    <a:noFill/>
                    <a:ln>
                      <a:noFill/>
                    </a:ln>
                  </pic:spPr>
                </pic:pic>
              </a:graphicData>
            </a:graphic>
          </wp:inline>
        </w:drawing>
      </w:r>
    </w:p>
    <w:p w14:paraId="4301B228" w14:textId="77777777" w:rsidR="00C87799" w:rsidRPr="00BE7D44" w:rsidRDefault="00C87799" w:rsidP="00C87799">
      <w:pPr>
        <w:pStyle w:val="Sources"/>
      </w:pPr>
      <w:r w:rsidRPr="00BE7D44">
        <w:t>Champ : Ensemble des personnes protégées par un contrat ACS au 31 décembre 2016</w:t>
      </w:r>
    </w:p>
    <w:p w14:paraId="331C8D50" w14:textId="77777777" w:rsidR="00C87799" w:rsidRPr="00BE7D44" w:rsidRDefault="00C87799" w:rsidP="00C87799">
      <w:pPr>
        <w:pStyle w:val="Sources"/>
      </w:pPr>
      <w:r w:rsidRPr="00BE7D44">
        <w:t>Source : 11 groupements gestionnaires de l’ACS (Enquête annuelle sur l’ACS 2016)</w:t>
      </w:r>
    </w:p>
    <w:p w14:paraId="6965F54D" w14:textId="77777777" w:rsidR="00C87799" w:rsidRPr="00BE7D44" w:rsidRDefault="00C87799" w:rsidP="00C87799">
      <w:pPr>
        <w:pStyle w:val="Sources"/>
      </w:pPr>
      <w:r w:rsidRPr="00BE7D44">
        <w:t xml:space="preserve">Classes A, B, C, D, E : de la meilleure à la moins bonne couverture. </w:t>
      </w:r>
    </w:p>
    <w:p w14:paraId="07807081" w14:textId="77777777" w:rsidR="00C87799" w:rsidRPr="00BE7D44" w:rsidRDefault="00C87799" w:rsidP="00C87799">
      <w:pPr>
        <w:pStyle w:val="Titre6"/>
      </w:pPr>
      <w:r w:rsidRPr="00BE7D44">
        <w:t>Les dépenses de soins dépendent du niveau de garantie et de l’âge</w:t>
      </w:r>
    </w:p>
    <w:p w14:paraId="6568BD0F" w14:textId="6DCFC80C" w:rsidR="00C87799" w:rsidRPr="00BE7D44" w:rsidRDefault="00C87799" w:rsidP="00C87799">
      <w:pPr>
        <w:pStyle w:val="Titre7"/>
      </w:pPr>
      <w:r w:rsidRPr="00BE7D44">
        <w:t xml:space="preserve">Le poids de l’hospitalisation dans les remboursements des </w:t>
      </w:r>
      <w:r w:rsidR="00DF5486">
        <w:t>organismes complémentaires</w:t>
      </w:r>
      <w:r w:rsidR="00DF5486" w:rsidRPr="00BE7D44">
        <w:t xml:space="preserve"> </w:t>
      </w:r>
      <w:r w:rsidRPr="00BE7D44">
        <w:t>augmente avec l’âge</w:t>
      </w:r>
    </w:p>
    <w:p w14:paraId="7E29CB20" w14:textId="226B9791" w:rsidR="00C87799" w:rsidRPr="00BE7D44" w:rsidRDefault="00C87799" w:rsidP="00C87799">
      <w:pPr>
        <w:pStyle w:val="Corpsdetexte"/>
      </w:pPr>
      <w:r w:rsidRPr="00BE7D44">
        <w:t xml:space="preserve">L’analyse des remboursements des </w:t>
      </w:r>
      <w:r w:rsidR="00DF5486">
        <w:t xml:space="preserve">organismes complémentaires </w:t>
      </w:r>
      <w:r w:rsidRPr="00BE7D44">
        <w:t>renseigne sur la structure de consommation de soins des bénéficiaires de l’ACS même si ces remboursements ne représentent que la partie complémentaire des dépenses de santé. Les remboursements des</w:t>
      </w:r>
      <w:r w:rsidR="00DF5486">
        <w:t xml:space="preserve"> organismes complémentaires</w:t>
      </w:r>
      <w:r w:rsidRPr="00BE7D44">
        <w:t xml:space="preserve"> portent principalement sur l’hospitalisation, les soins courants et la pharmacie. Le poids de ces postes de soins dans les remboursements des </w:t>
      </w:r>
      <w:r w:rsidR="00DF5486">
        <w:t>organismes complémentaires</w:t>
      </w:r>
      <w:r w:rsidR="00DF5486" w:rsidRPr="00BE7D44">
        <w:t xml:space="preserve"> </w:t>
      </w:r>
      <w:r w:rsidRPr="00BE7D44">
        <w:t>diminue lorsque  le niveau de garantie du contrat augmente, au profit du de</w:t>
      </w:r>
      <w:r w:rsidRPr="00BE7D44">
        <w:t>n</w:t>
      </w:r>
      <w:r w:rsidRPr="00BE7D44">
        <w:t xml:space="preserve">taire et de l’optique. En outre, le poids de l’hospitalisation dans les dépenses de complémentaire santé remboursées par les </w:t>
      </w:r>
      <w:r w:rsidR="00DF5486">
        <w:t>organismes complémentaires</w:t>
      </w:r>
      <w:r w:rsidR="00DF5486" w:rsidRPr="00BE7D44">
        <w:t xml:space="preserve"> </w:t>
      </w:r>
      <w:r w:rsidRPr="00BE7D44">
        <w:t>croît avec l’âge.</w:t>
      </w:r>
    </w:p>
    <w:p w14:paraId="2462934C" w14:textId="14A2530C" w:rsidR="00C87799" w:rsidRPr="00BE7D44" w:rsidRDefault="00C87799" w:rsidP="00C87799">
      <w:pPr>
        <w:pStyle w:val="Titre7"/>
      </w:pPr>
      <w:r w:rsidRPr="00BE7D44">
        <w:t>En moyenne, les bénéficiaires financent directement 6% de leur dépense de santé</w:t>
      </w:r>
    </w:p>
    <w:p w14:paraId="74B98A12" w14:textId="0F8FC540" w:rsidR="00C87799" w:rsidRPr="00BE7D44" w:rsidRDefault="00C87799" w:rsidP="00C87799">
      <w:pPr>
        <w:pStyle w:val="Corpsdetexte"/>
      </w:pPr>
      <w:r w:rsidRPr="00BE7D44">
        <w:t>L’analyse des dépenses totales de soins</w:t>
      </w:r>
      <w:r w:rsidRPr="00BE7D44">
        <w:rPr>
          <w:vertAlign w:val="superscript"/>
        </w:rPr>
        <w:footnoteReference w:id="77"/>
      </w:r>
      <w:r w:rsidRPr="00BE7D44">
        <w:t xml:space="preserve"> montre que les bénéficiaires de l’ACS contribuent directement pour 6% au financement de leurs dépenses de santé, la participation de l’assurance maladie obligatoire s’établissant à 60% et celle </w:t>
      </w:r>
      <w:r w:rsidR="00DF5486">
        <w:t>organismes complémentaires</w:t>
      </w:r>
      <w:r w:rsidR="00DF5486" w:rsidRPr="00BE7D44">
        <w:t xml:space="preserve"> </w:t>
      </w:r>
      <w:r w:rsidRPr="00BE7D44">
        <w:t>à 34%.</w:t>
      </w:r>
    </w:p>
    <w:p w14:paraId="0CF2CEFA" w14:textId="77777777" w:rsidR="00C87799" w:rsidRPr="00BE7D44" w:rsidRDefault="00C87799" w:rsidP="00C87799">
      <w:pPr>
        <w:pStyle w:val="Corpsdetexte"/>
      </w:pPr>
      <w:r w:rsidRPr="00BE7D44">
        <w:t>Sur certains postes de soins, la participation de l’assuré reste toutefois importante : les bénéficiaires de l’ACS f</w:t>
      </w:r>
      <w:r w:rsidRPr="00BE7D44">
        <w:t>i</w:t>
      </w:r>
      <w:r w:rsidRPr="00BE7D44">
        <w:t xml:space="preserve">nancent directement entre un tiers et deux-tiers de leur dépense en prothèses dentaires selon le contrat souscrit. Cette participation est encore plus élevée pour l’optique et l’audioprothèse (elle est égale aux trois-quarts de la dépense pour l’audioprothèse pour les contrats A et B). </w:t>
      </w:r>
    </w:p>
    <w:p w14:paraId="59FAF8CD" w14:textId="1DB38764" w:rsidR="00C87799" w:rsidRPr="00BE7D44" w:rsidRDefault="00C87799" w:rsidP="00C87799">
      <w:pPr>
        <w:pStyle w:val="Titre7"/>
      </w:pPr>
      <w:r w:rsidRPr="00BE7D44">
        <w:lastRenderedPageBreak/>
        <w:t>Pour l’optique, les prothèses dentaires et l’</w:t>
      </w:r>
      <w:r w:rsidR="009E5A53" w:rsidRPr="00BE7D44">
        <w:t>audioprothèse</w:t>
      </w:r>
      <w:r w:rsidRPr="00BE7D44">
        <w:t>, les restes à charge ont tendance à diminuer avec le niveau de garantie mais restent élevés</w:t>
      </w:r>
    </w:p>
    <w:p w14:paraId="0C27C238" w14:textId="77777777" w:rsidR="00C87799" w:rsidRPr="00BE7D44" w:rsidRDefault="00C87799" w:rsidP="00C87799">
      <w:pPr>
        <w:pStyle w:val="Corpsdetexte"/>
      </w:pPr>
      <w:r w:rsidRPr="00BE7D44">
        <w:t>Le recours aux soins s’accroît avec le niveau de garantie, en particulier pour les prothèses dentaires, l’optique et audioprothèse.</w:t>
      </w:r>
    </w:p>
    <w:p w14:paraId="6C52877A" w14:textId="77777777" w:rsidR="00C87799" w:rsidRPr="00BE7D44" w:rsidRDefault="00C87799" w:rsidP="00C87799">
      <w:pPr>
        <w:pStyle w:val="Corpsdetexte"/>
      </w:pPr>
      <w:r w:rsidRPr="00BE7D44">
        <w:t>Sur ces postes de soins, la dépense par consommant augmente aussi avec le niveau de garantie. Les restes à charge, quant à eux, ont tendance à diminuer. Ils restent néanmoins élevés.</w:t>
      </w:r>
    </w:p>
    <w:p w14:paraId="352448CF" w14:textId="4B0DA379" w:rsidR="00C87799" w:rsidRPr="00BE7D44" w:rsidRDefault="00C87799" w:rsidP="00C87799">
      <w:pPr>
        <w:pStyle w:val="Corpsdetexte"/>
      </w:pPr>
      <w:r w:rsidRPr="00BE7D44">
        <w:t>Pour les personnes ayant reçu des soins dentaires prothétiques, le reste à charge moyen se situe entre de 330 </w:t>
      </w:r>
      <w:r w:rsidR="009C3ADC">
        <w:t>euros</w:t>
      </w:r>
      <w:r w:rsidRPr="00BE7D44">
        <w:t xml:space="preserve"> et 430 </w:t>
      </w:r>
      <w:r w:rsidR="009C3ADC">
        <w:t>euros</w:t>
      </w:r>
      <w:r w:rsidRPr="00BE7D44">
        <w:t xml:space="preserve"> selon le niveau de garantie. Pour une personne ayant acquis une monture et deux verres complexes (ou un verre simple et un verre complexe), le reste à charge moyen va de 100 </w:t>
      </w:r>
      <w:r w:rsidR="009C3ADC">
        <w:t>euros</w:t>
      </w:r>
      <w:r w:rsidRPr="00BE7D44">
        <w:t xml:space="preserve"> à 270 </w:t>
      </w:r>
      <w:r w:rsidR="009C3ADC">
        <w:t>euros</w:t>
      </w:r>
      <w:r w:rsidRPr="00BE7D44">
        <w:t>. Il est de l’ordre de 600 </w:t>
      </w:r>
      <w:r w:rsidR="009C3ADC">
        <w:t>euros</w:t>
      </w:r>
      <w:r w:rsidRPr="00BE7D44">
        <w:t xml:space="preserve"> annuel en moyenne pour une personne s’étant équipée en audioprothèse.</w:t>
      </w:r>
    </w:p>
    <w:p w14:paraId="4C09FFD8" w14:textId="77777777" w:rsidR="00C87799" w:rsidRPr="00BE7D44" w:rsidRDefault="00C87799" w:rsidP="00C87799">
      <w:pPr>
        <w:pStyle w:val="Corpsdetexte"/>
      </w:pPr>
      <w:r w:rsidRPr="00BE7D44">
        <w:t>En ce qui concerne les soins courants, les restes à charge pour les consultations de médecins sont faibles mais non nuls, ce qui suggère que l’interdiction de dépassement d’honoraires n’est pas toujours respectée.</w:t>
      </w:r>
    </w:p>
    <w:p w14:paraId="36A8E8B9" w14:textId="77777777" w:rsidR="00C87799" w:rsidRPr="00BE7D44" w:rsidRDefault="00C87799" w:rsidP="00C87799">
      <w:pPr>
        <w:pStyle w:val="Titre6"/>
      </w:pPr>
      <w:bookmarkStart w:id="530" w:name="_Toc494971239"/>
      <w:r>
        <w:t xml:space="preserve"> </w:t>
      </w:r>
      <w:r w:rsidRPr="00BE7D44">
        <w:t>L’équilibre technique des contrats ACS est fragile</w:t>
      </w:r>
      <w:bookmarkEnd w:id="530"/>
    </w:p>
    <w:p w14:paraId="08F4C03A" w14:textId="654535A4" w:rsidR="00C87799" w:rsidRPr="00BE7D44" w:rsidRDefault="00C87799" w:rsidP="00C87799">
      <w:pPr>
        <w:pStyle w:val="Corpsdetexte"/>
      </w:pPr>
      <w:r w:rsidRPr="00BE7D44">
        <w:t xml:space="preserve">L’équilibre technique des contrats est mesuré </w:t>
      </w:r>
      <w:r w:rsidRPr="00BE7D44">
        <w:rPr>
          <w:i/>
        </w:rPr>
        <w:t>via</w:t>
      </w:r>
      <w:r w:rsidRPr="00BE7D44">
        <w:t xml:space="preserve"> l’indicateur P/C = Charges de prestations/Cotisations nettes</w:t>
      </w:r>
      <w:r w:rsidRPr="00BE7D44">
        <w:rPr>
          <w:vertAlign w:val="superscript"/>
        </w:rPr>
        <w:footnoteReference w:id="78"/>
      </w:r>
      <w:r w:rsidRPr="00BE7D44">
        <w:t xml:space="preserve">. Il ne tient pas compte des frais de gestion des </w:t>
      </w:r>
      <w:r w:rsidR="00DF5486">
        <w:t>organismes complémentaires</w:t>
      </w:r>
      <w:r w:rsidRPr="00BE7D44">
        <w:t>.</w:t>
      </w:r>
    </w:p>
    <w:p w14:paraId="307F1B55" w14:textId="4BAE814A" w:rsidR="00C87799" w:rsidRPr="00BE7D44" w:rsidRDefault="00C87799" w:rsidP="00C87799">
      <w:pPr>
        <w:pStyle w:val="Corpsdetexte"/>
      </w:pPr>
      <w:r w:rsidRPr="00BE7D44">
        <w:t>Par rapport aux premiers résultats établis sur les soins réalisés de juillet à décembre 2015, durant la montée en charge du nouveau dispositif ACS</w:t>
      </w:r>
      <w:r w:rsidRPr="00BE7D44">
        <w:rPr>
          <w:vertAlign w:val="superscript"/>
        </w:rPr>
        <w:footnoteReference w:id="79"/>
      </w:r>
      <w:r w:rsidRPr="00BE7D44">
        <w:t>, le rapport P/C a augmenté. L’indicateur P/C détaillé pour les contrats A, B et C s’établit respectivement à 97,3%, 99,2% et 106,5%.</w:t>
      </w:r>
    </w:p>
    <w:p w14:paraId="17485071" w14:textId="00A2D345" w:rsidR="00C87799" w:rsidRPr="00BE7D44" w:rsidRDefault="00C87799" w:rsidP="00C87799">
      <w:pPr>
        <w:pStyle w:val="Corpsdetexte"/>
      </w:pPr>
      <w:r w:rsidRPr="00BE7D44">
        <w:t>La barre des 100% est donc dépassée pour le contrat C. Ce contrat serait en déséquilibre puisque le montant des prestations est supérieur au montant des cotisations nettes.</w:t>
      </w:r>
    </w:p>
    <w:p w14:paraId="4C42BA3E" w14:textId="018FBA50" w:rsidR="00C87799" w:rsidRPr="00BE7D44" w:rsidRDefault="00C87799" w:rsidP="00C87799">
      <w:pPr>
        <w:pStyle w:val="Corpsdetexte"/>
      </w:pPr>
      <w:r w:rsidRPr="00BE7D44">
        <w:t>Le contrat C étant le plus souscrit, l’indicateur P/C apparaît globalement défavorable pour l’ensemble des contrats avec une valeur moyenne de 102,3%.</w:t>
      </w:r>
    </w:p>
    <w:p w14:paraId="36EFC965" w14:textId="593BFE3E" w:rsidR="00C87799" w:rsidRPr="00BE7D44" w:rsidRDefault="00C87799" w:rsidP="00C87799">
      <w:pPr>
        <w:pStyle w:val="Corpsdetexte"/>
      </w:pPr>
      <w:r w:rsidRPr="00BE7D44">
        <w:t>Ces résultats sont à interpréter avec prudence dans la mesure où le montant définitif des prestations pour les soins de l’année 2016 n’était pas encore connu au moment de la transmission des données par les groupements ge</w:t>
      </w:r>
      <w:r w:rsidRPr="00BE7D44">
        <w:t>s</w:t>
      </w:r>
      <w:r w:rsidRPr="00BE7D44">
        <w:t>tionnaires de l’ACS. En effet, les</w:t>
      </w:r>
      <w:r w:rsidR="00DF5486">
        <w:t xml:space="preserve"> organismes complémentaires</w:t>
      </w:r>
      <w:r w:rsidRPr="00BE7D44">
        <w:t xml:space="preserve"> ont inscrit des provisions pour les prestations restant à payer au 31 mars 2017. Ces provisions, intégrées dans le montant des prestations, représentent au global 8% des prestations déjà payées. Le taux varie cependant d’un groupement à un autre : de 2% à 16%.</w:t>
      </w:r>
    </w:p>
    <w:p w14:paraId="280DFE9C" w14:textId="1C5CD293" w:rsidR="00C87799" w:rsidRPr="00BE7D44" w:rsidRDefault="00C87799" w:rsidP="00C87799">
      <w:pPr>
        <w:pStyle w:val="Corpsdetexte"/>
      </w:pPr>
      <w:r w:rsidRPr="00BE7D44">
        <w:t>À titre d’illustration, si le taux de provision était de 5%, les contrats seraient techniquement à l’équilibre. Les co</w:t>
      </w:r>
      <w:r w:rsidRPr="00BE7D44">
        <w:t>n</w:t>
      </w:r>
      <w:r w:rsidRPr="00BE7D44">
        <w:t xml:space="preserve">trats ACS étant mis en place depuis juillet 2015, l’exercice d’estimation des charges définitives reste délicat pour les </w:t>
      </w:r>
      <w:r w:rsidR="00DF5486">
        <w:t>organismes complémentaires</w:t>
      </w:r>
      <w:r w:rsidRPr="00BE7D44">
        <w:t>.</w:t>
      </w:r>
    </w:p>
    <w:p w14:paraId="3BED751F" w14:textId="77777777" w:rsidR="00610C56" w:rsidRPr="009B697F" w:rsidRDefault="00610C56" w:rsidP="009B697F">
      <w:pPr>
        <w:pStyle w:val="Corpsdetexte"/>
      </w:pPr>
    </w:p>
    <w:p w14:paraId="1FB306EC" w14:textId="77777777" w:rsidR="00407BD5" w:rsidRPr="00407BD5" w:rsidRDefault="00407BD5" w:rsidP="00BF18AE">
      <w:pPr>
        <w:pStyle w:val="Titre2Annexes"/>
        <w:ind w:left="0"/>
      </w:pPr>
      <w:bookmarkStart w:id="531" w:name="_Toc523327728"/>
      <w:bookmarkEnd w:id="497"/>
      <w:bookmarkEnd w:id="498"/>
      <w:bookmarkEnd w:id="499"/>
      <w:r w:rsidRPr="00407BD5">
        <w:lastRenderedPageBreak/>
        <w:t>Étude des consommations des dispositifs médicaux générant des restes à charge (hors optique, audiologie et prothèses dentaires)</w:t>
      </w:r>
      <w:bookmarkEnd w:id="531"/>
    </w:p>
    <w:p w14:paraId="321D4B5A" w14:textId="0C113309" w:rsidR="00407BD5" w:rsidRPr="00407BD5" w:rsidRDefault="00407BD5" w:rsidP="00407BD5">
      <w:pPr>
        <w:pStyle w:val="Corpsdetexte"/>
      </w:pPr>
      <w:r w:rsidRPr="00407BD5">
        <w:t>L’analyse présentée ici a été rendue possible grâce à la fourniture par la CNAM de données dét</w:t>
      </w:r>
      <w:r>
        <w:t xml:space="preserve">aillées extraites du </w:t>
      </w:r>
      <w:r w:rsidR="00DF5486" w:rsidRPr="00DF5486">
        <w:t>Système national d'</w:t>
      </w:r>
      <w:r w:rsidR="00DF5486">
        <w:t>information inter-régimes de l'a</w:t>
      </w:r>
      <w:r w:rsidR="00DF5486" w:rsidRPr="00DF5486">
        <w:t xml:space="preserve">ssurance maladie </w:t>
      </w:r>
      <w:r w:rsidR="00DF5486">
        <w:t>(</w:t>
      </w:r>
      <w:r>
        <w:t>SNIIRAM</w:t>
      </w:r>
      <w:r w:rsidR="00DF5486">
        <w:t>)</w:t>
      </w:r>
      <w:r>
        <w:t xml:space="preserve">.  </w:t>
      </w:r>
    </w:p>
    <w:p w14:paraId="28E07757" w14:textId="5A0083BC" w:rsidR="00407BD5" w:rsidRPr="00407BD5" w:rsidRDefault="00407BD5" w:rsidP="00407BD5">
      <w:pPr>
        <w:pStyle w:val="Corpsdetexte"/>
      </w:pPr>
      <w:r w:rsidRPr="00407BD5">
        <w:t xml:space="preserve">Les dispositifs sans </w:t>
      </w:r>
      <w:r w:rsidR="00DF5486">
        <w:t>PLV</w:t>
      </w:r>
      <w:r w:rsidRPr="00407BD5">
        <w:t xml:space="preserve"> ou avec un </w:t>
      </w:r>
      <w:r w:rsidR="00DF5486">
        <w:t>PLV</w:t>
      </w:r>
      <w:r w:rsidRPr="00407BD5">
        <w:t xml:space="preserve"> déconnecté du tarif de rembours</w:t>
      </w:r>
      <w:r w:rsidRPr="00407BD5">
        <w:t>e</w:t>
      </w:r>
      <w:r w:rsidRPr="00407BD5">
        <w:t>ment (hors optique, audioprothèse et prothèses dentaires) sont susceptibles de générer des restes à charge. Dans la LPP) ils représentent près de 1</w:t>
      </w:r>
      <w:r w:rsidR="00DF5486">
        <w:t xml:space="preserve"> </w:t>
      </w:r>
      <w:r w:rsidRPr="00407BD5">
        <w:t xml:space="preserve">150 codes. Pour faciliter l’analyse, ces codes ont été regroupés par la CNAM en 41 catégories. Les données sont issues du </w:t>
      </w:r>
      <w:r w:rsidR="00DF5486" w:rsidRPr="00DF5486">
        <w:t xml:space="preserve">Datamart Consommation Inter Régime </w:t>
      </w:r>
      <w:r w:rsidR="00DF5486">
        <w:t>(</w:t>
      </w:r>
      <w:r w:rsidRPr="00407BD5">
        <w:t>DCIR</w:t>
      </w:r>
      <w:r w:rsidR="00DF5486">
        <w:t>)</w:t>
      </w:r>
      <w:r w:rsidRPr="00407BD5">
        <w:t>-SNIIRAM pour des soins réalisés en 2016 sur le périmètre de la France entière.</w:t>
      </w:r>
    </w:p>
    <w:p w14:paraId="464F0E8F" w14:textId="5BA9EEF7" w:rsidR="00407BD5" w:rsidRPr="00407BD5" w:rsidRDefault="00407BD5" w:rsidP="00407BD5">
      <w:pPr>
        <w:pStyle w:val="Corpsdetexte"/>
      </w:pPr>
      <w:r w:rsidRPr="00407BD5">
        <w:t>Au global, sur l’ensemble des dispositifs médicaux sélectionnés pour l’étude, près de la moitié de la population générale a été confrontée en 2016 à un dépassement au-delà du tarif de responsabilité de sécurité sociale. Un tiers des bénéficiaires de la CMU-C et près de 40% des bénéficiaires de l’ACS consommant ces dispositifs ont connu des dépassements, car les prises en charge prévues pour la CMU-C et l’ACS ne vont pas au-delà du tarif de responsabil</w:t>
      </w:r>
      <w:r w:rsidRPr="00407BD5">
        <w:t>i</w:t>
      </w:r>
      <w:r w:rsidRPr="00407BD5">
        <w:t>té. Les personnes en situation handicap</w:t>
      </w:r>
      <w:r w:rsidRPr="00407BD5">
        <w:rPr>
          <w:vertAlign w:val="superscript"/>
        </w:rPr>
        <w:footnoteReference w:id="80"/>
      </w:r>
      <w:r w:rsidRPr="00407BD5">
        <w:t xml:space="preserve"> (qu’elles aient ou non la CMU-C ou l’ACS) sont encore plus fréquemment exposées à un dépassement lorsqu’elles se procurent des dispositifs médicaux (45%).</w:t>
      </w:r>
    </w:p>
    <w:p w14:paraId="61EE6880" w14:textId="3C8E7A33" w:rsidR="00407BD5" w:rsidRPr="00407BD5" w:rsidRDefault="006570E2" w:rsidP="006570E2">
      <w:pPr>
        <w:pStyle w:val="Lgende"/>
        <w:rPr>
          <w:b/>
        </w:rPr>
      </w:pPr>
      <w:r>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13</w:t>
      </w:r>
      <w:r w:rsidR="00AF653A">
        <w:rPr>
          <w:noProof/>
        </w:rPr>
        <w:fldChar w:fldCharType="end"/>
      </w:r>
      <w:r>
        <w:rPr>
          <w:b/>
        </w:rPr>
        <w:t xml:space="preserve"> –</w:t>
      </w:r>
      <w:r w:rsidR="00407BD5" w:rsidRPr="00407BD5">
        <w:rPr>
          <w:b/>
        </w:rPr>
        <w:t xml:space="preserve"> </w:t>
      </w:r>
      <w:r w:rsidR="00407BD5" w:rsidRPr="006570E2">
        <w:t>Part d</w:t>
      </w:r>
      <w:r w:rsidRPr="006570E2">
        <w:t>e</w:t>
      </w:r>
      <w:r w:rsidR="00407BD5" w:rsidRPr="006570E2">
        <w:t>s personnes ayant connu des dépassements parmi les consommants en 2016</w:t>
      </w:r>
    </w:p>
    <w:p w14:paraId="122BED90" w14:textId="77777777" w:rsidR="00407BD5" w:rsidRPr="00407BD5" w:rsidRDefault="00407BD5" w:rsidP="00407BD5">
      <w:pPr>
        <w:pStyle w:val="Corpsdetexte"/>
      </w:pPr>
      <w:r w:rsidRPr="00407BD5">
        <w:rPr>
          <w:noProof/>
          <w:lang w:eastAsia="fr-FR"/>
        </w:rPr>
        <w:drawing>
          <wp:inline distT="0" distB="0" distL="0" distR="0" wp14:anchorId="04757375" wp14:editId="28DAFB44">
            <wp:extent cx="4264925" cy="1532848"/>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0173" cy="1534734"/>
                    </a:xfrm>
                    <a:prstGeom prst="rect">
                      <a:avLst/>
                    </a:prstGeom>
                    <a:noFill/>
                    <a:ln>
                      <a:noFill/>
                    </a:ln>
                  </pic:spPr>
                </pic:pic>
              </a:graphicData>
            </a:graphic>
          </wp:inline>
        </w:drawing>
      </w:r>
    </w:p>
    <w:p w14:paraId="3A4578D7" w14:textId="257586CA" w:rsidR="00407BD5" w:rsidRPr="00407BD5" w:rsidRDefault="00407BD5" w:rsidP="006570E2">
      <w:pPr>
        <w:pStyle w:val="Sources"/>
      </w:pPr>
      <w:r w:rsidRPr="00407BD5">
        <w:t>Note : Un consommant correspond à une personne ayant consommé au moins un dispositif médical dans l’année. La population générale e</w:t>
      </w:r>
      <w:r w:rsidRPr="00407BD5">
        <w:t>n</w:t>
      </w:r>
      <w:r w:rsidRPr="00407BD5">
        <w:t>globe ici l’ensemble des assurés, y compris les bénéficiaires de la CMU-C, de l’ACS, de l’AAH et les personnes en invalidité</w:t>
      </w:r>
      <w:r w:rsidR="00993B79">
        <w:t>.</w:t>
      </w:r>
    </w:p>
    <w:p w14:paraId="1639AD8B" w14:textId="77777777" w:rsidR="00407BD5" w:rsidRPr="00407BD5" w:rsidRDefault="00407BD5" w:rsidP="00407BD5">
      <w:pPr>
        <w:pStyle w:val="Corpsdetexte"/>
      </w:pPr>
      <w:r w:rsidRPr="00407BD5">
        <w:t>Ce sont les personnes en situation de handicap qui connaissent les montants de dépassement les plus importants.</w:t>
      </w:r>
    </w:p>
    <w:p w14:paraId="3DC37461" w14:textId="2141707E" w:rsidR="006570E2" w:rsidRDefault="006570E2" w:rsidP="006570E2">
      <w:pPr>
        <w:pStyle w:val="Lgende"/>
      </w:pPr>
      <w:r>
        <w:t xml:space="preserve">Figure </w:t>
      </w:r>
      <w:r w:rsidR="00AF653A">
        <w:rPr>
          <w:noProof/>
        </w:rPr>
        <w:fldChar w:fldCharType="begin"/>
      </w:r>
      <w:r w:rsidR="00AF653A">
        <w:rPr>
          <w:noProof/>
        </w:rPr>
        <w:instrText xml:space="preserve"> SEQ Figure \* ARABIC </w:instrText>
      </w:r>
      <w:r w:rsidR="00AF653A">
        <w:rPr>
          <w:noProof/>
        </w:rPr>
        <w:fldChar w:fldCharType="separate"/>
      </w:r>
      <w:r w:rsidR="00F20957">
        <w:rPr>
          <w:noProof/>
        </w:rPr>
        <w:t>14</w:t>
      </w:r>
      <w:r w:rsidR="00AF653A">
        <w:rPr>
          <w:noProof/>
        </w:rPr>
        <w:fldChar w:fldCharType="end"/>
      </w:r>
      <w:r>
        <w:t xml:space="preserve"> – </w:t>
      </w:r>
      <w:r w:rsidRPr="006570E2">
        <w:t>Dépassement moyen pour les personnes connaissant un dépassement</w:t>
      </w:r>
    </w:p>
    <w:p w14:paraId="0E5480A3" w14:textId="77777777" w:rsidR="00407BD5" w:rsidRPr="00407BD5" w:rsidRDefault="00407BD5" w:rsidP="00407BD5">
      <w:pPr>
        <w:pStyle w:val="Corpsdetexte"/>
      </w:pPr>
      <w:r w:rsidRPr="00407BD5">
        <w:rPr>
          <w:noProof/>
          <w:lang w:eastAsia="fr-FR"/>
        </w:rPr>
        <w:drawing>
          <wp:inline distT="0" distB="0" distL="0" distR="0" wp14:anchorId="73E6162C" wp14:editId="5CED9835">
            <wp:extent cx="4408227" cy="158435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3651" cy="1586302"/>
                    </a:xfrm>
                    <a:prstGeom prst="rect">
                      <a:avLst/>
                    </a:prstGeom>
                    <a:noFill/>
                    <a:ln>
                      <a:noFill/>
                    </a:ln>
                  </pic:spPr>
                </pic:pic>
              </a:graphicData>
            </a:graphic>
          </wp:inline>
        </w:drawing>
      </w:r>
    </w:p>
    <w:p w14:paraId="5AD7A70F" w14:textId="77777777" w:rsidR="00407BD5" w:rsidRPr="00407BD5" w:rsidRDefault="00407BD5" w:rsidP="00407BD5">
      <w:pPr>
        <w:pStyle w:val="Corpsdetexte"/>
      </w:pPr>
      <w:r w:rsidRPr="00407BD5">
        <w:lastRenderedPageBreak/>
        <w:t>L’analyse détaillée par catégorie de dispositifs médicaux met en évidence les types de dispositifs pour lesquels la part des consommants connaissant des dépassements est la plus importante.</w:t>
      </w:r>
    </w:p>
    <w:p w14:paraId="1E30CCFB" w14:textId="668567CA" w:rsidR="00407BD5" w:rsidRPr="00407BD5" w:rsidRDefault="00407BD5" w:rsidP="00407BD5">
      <w:pPr>
        <w:pStyle w:val="Corpsdetexte"/>
      </w:pPr>
      <w:r w:rsidRPr="00407BD5">
        <w:t>Pour les populations vulnérables, les dispositifs fréquemment utilisés qui présentent presque systématiquement des restes à charge supérieurs à 100 </w:t>
      </w:r>
      <w:r w:rsidR="009C3ADC">
        <w:t>euros</w:t>
      </w:r>
      <w:r w:rsidRPr="00407BD5">
        <w:t xml:space="preserve"> sont :</w:t>
      </w:r>
    </w:p>
    <w:p w14:paraId="51348D8D" w14:textId="26EB9E4E" w:rsidR="00407BD5" w:rsidRPr="00407BD5" w:rsidRDefault="00993B79" w:rsidP="006570E2">
      <w:pPr>
        <w:pStyle w:val="Listecontinue"/>
      </w:pPr>
      <w:r>
        <w:t>l</w:t>
      </w:r>
      <w:r w:rsidR="00407BD5" w:rsidRPr="00407BD5">
        <w:t>es semelles orthopédiques</w:t>
      </w:r>
      <w:r w:rsidR="00FF20C9">
        <w:t> ;</w:t>
      </w:r>
    </w:p>
    <w:p w14:paraId="6827484A" w14:textId="3824DBB8" w:rsidR="00407BD5" w:rsidRPr="00407BD5" w:rsidRDefault="00993B79" w:rsidP="006570E2">
      <w:pPr>
        <w:pStyle w:val="Listecontinue"/>
      </w:pPr>
      <w:r>
        <w:t>l</w:t>
      </w:r>
      <w:r w:rsidR="00407BD5" w:rsidRPr="00407BD5">
        <w:t xml:space="preserve">es nutriments pour </w:t>
      </w:r>
      <w:r w:rsidR="009E5A53" w:rsidRPr="00407BD5">
        <w:t>supplémentation</w:t>
      </w:r>
      <w:r w:rsidR="00407BD5" w:rsidRPr="00407BD5">
        <w:t xml:space="preserve"> orale</w:t>
      </w:r>
      <w:r w:rsidR="00FF20C9">
        <w:t> ;</w:t>
      </w:r>
    </w:p>
    <w:p w14:paraId="460D3891" w14:textId="790E0353" w:rsidR="00407BD5" w:rsidRPr="00407BD5" w:rsidRDefault="00993B79" w:rsidP="006570E2">
      <w:pPr>
        <w:pStyle w:val="Listecontinue"/>
      </w:pPr>
      <w:r>
        <w:t>l</w:t>
      </w:r>
      <w:r w:rsidR="00407BD5" w:rsidRPr="00407BD5">
        <w:t>es dispositifs injectables viscoélastique</w:t>
      </w:r>
      <w:r w:rsidR="00FF20C9">
        <w:t> ;</w:t>
      </w:r>
    </w:p>
    <w:p w14:paraId="043FEBEB" w14:textId="29A26D0E" w:rsidR="00FF20C9" w:rsidRPr="00FF20C9" w:rsidRDefault="00993B79" w:rsidP="00407BD5">
      <w:pPr>
        <w:pStyle w:val="Listecontinue"/>
      </w:pPr>
      <w:r>
        <w:t>l</w:t>
      </w:r>
      <w:r w:rsidR="006570E2">
        <w:t>es postiches</w:t>
      </w:r>
      <w:r w:rsidR="00FF20C9">
        <w:t>.</w:t>
      </w:r>
    </w:p>
    <w:p w14:paraId="234A56A9" w14:textId="0BB0436E" w:rsidR="00FF20C9" w:rsidRDefault="00FF20C9" w:rsidP="00FF20C9">
      <w:pPr>
        <w:pStyle w:val="Lgende"/>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8</w:t>
      </w:r>
      <w:r w:rsidR="00AF653A">
        <w:rPr>
          <w:noProof/>
        </w:rPr>
        <w:fldChar w:fldCharType="end"/>
      </w:r>
      <w:r>
        <w:t xml:space="preserve"> – </w:t>
      </w:r>
      <w:r w:rsidRPr="00FF20C9">
        <w:t>Bénéficiaires CMU-C (hors AAH et invalidité) : Dispositifs médicaux avec les dépassements les plus fréquents parmi les consommants</w:t>
      </w:r>
    </w:p>
    <w:p w14:paraId="75EB6563" w14:textId="77777777" w:rsidR="00407BD5" w:rsidRPr="00407BD5" w:rsidRDefault="00407BD5" w:rsidP="00407BD5">
      <w:pPr>
        <w:pStyle w:val="Corpsdetexte"/>
      </w:pPr>
      <w:r w:rsidRPr="00407BD5">
        <w:rPr>
          <w:noProof/>
          <w:lang w:eastAsia="fr-FR"/>
        </w:rPr>
        <w:drawing>
          <wp:inline distT="0" distB="0" distL="0" distR="0" wp14:anchorId="21F51DC5" wp14:editId="5383D35A">
            <wp:extent cx="5915025" cy="25241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2524125"/>
                    </a:xfrm>
                    <a:prstGeom prst="rect">
                      <a:avLst/>
                    </a:prstGeom>
                    <a:noFill/>
                    <a:ln>
                      <a:noFill/>
                    </a:ln>
                  </pic:spPr>
                </pic:pic>
              </a:graphicData>
            </a:graphic>
          </wp:inline>
        </w:drawing>
      </w:r>
    </w:p>
    <w:p w14:paraId="629D788E" w14:textId="77777777" w:rsidR="00407BD5" w:rsidRPr="00407BD5" w:rsidRDefault="00407BD5" w:rsidP="00407BD5">
      <w:pPr>
        <w:pStyle w:val="Corpsdetexte"/>
      </w:pPr>
    </w:p>
    <w:p w14:paraId="4E26C783" w14:textId="77777777" w:rsidR="00FF20C9" w:rsidRDefault="00FF20C9" w:rsidP="00407BD5">
      <w:pPr>
        <w:pStyle w:val="Corpsdetexte"/>
        <w:rPr>
          <w:b/>
        </w:rPr>
      </w:pPr>
    </w:p>
    <w:p w14:paraId="40C0C3F5" w14:textId="686C0C6A" w:rsidR="00FF20C9" w:rsidRPr="00407BD5" w:rsidRDefault="00FF20C9" w:rsidP="00FF20C9">
      <w:pPr>
        <w:pStyle w:val="Lgende"/>
        <w:rPr>
          <w:b/>
        </w:rPr>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9</w:t>
      </w:r>
      <w:r w:rsidR="00AF653A">
        <w:rPr>
          <w:noProof/>
        </w:rPr>
        <w:fldChar w:fldCharType="end"/>
      </w:r>
      <w:r>
        <w:t xml:space="preserve"> – </w:t>
      </w:r>
      <w:r w:rsidRPr="00FF20C9">
        <w:t>Bénéficiaires ACS (hors AAH et invalidité) : Dispositifs médicaux avec les dépassements les plus fr</w:t>
      </w:r>
      <w:r w:rsidRPr="00FF20C9">
        <w:t>é</w:t>
      </w:r>
      <w:r w:rsidRPr="00FF20C9">
        <w:t>quents parmi les consommants</w:t>
      </w:r>
    </w:p>
    <w:p w14:paraId="3E2A5FE7" w14:textId="77777777" w:rsidR="00407BD5" w:rsidRPr="00407BD5" w:rsidRDefault="00407BD5" w:rsidP="00407BD5">
      <w:pPr>
        <w:pStyle w:val="Corpsdetexte"/>
      </w:pPr>
      <w:r w:rsidRPr="00407BD5">
        <w:rPr>
          <w:noProof/>
          <w:lang w:eastAsia="fr-FR"/>
        </w:rPr>
        <w:drawing>
          <wp:inline distT="0" distB="0" distL="0" distR="0" wp14:anchorId="034FF3CC" wp14:editId="2D489341">
            <wp:extent cx="5915025" cy="26384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2638425"/>
                    </a:xfrm>
                    <a:prstGeom prst="rect">
                      <a:avLst/>
                    </a:prstGeom>
                    <a:noFill/>
                    <a:ln>
                      <a:noFill/>
                    </a:ln>
                  </pic:spPr>
                </pic:pic>
              </a:graphicData>
            </a:graphic>
          </wp:inline>
        </w:drawing>
      </w:r>
    </w:p>
    <w:p w14:paraId="7AADE8D9" w14:textId="2560285D" w:rsidR="00407BD5" w:rsidRPr="00407BD5" w:rsidRDefault="00FF20C9" w:rsidP="005778EE">
      <w:pPr>
        <w:pStyle w:val="Lgende"/>
      </w:pPr>
      <w:r>
        <w:lastRenderedPageBreak/>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10</w:t>
      </w:r>
      <w:r w:rsidR="00AF653A">
        <w:rPr>
          <w:noProof/>
        </w:rPr>
        <w:fldChar w:fldCharType="end"/>
      </w:r>
      <w:r>
        <w:t xml:space="preserve"> – </w:t>
      </w:r>
      <w:r w:rsidR="005778EE" w:rsidRPr="005778EE">
        <w:t>AAH et invalidité : Dispositifs médicaux avec les dépassements les plus fréquents parmi les co</w:t>
      </w:r>
      <w:r w:rsidR="005778EE" w:rsidRPr="005778EE">
        <w:t>n</w:t>
      </w:r>
      <w:r w:rsidR="005778EE" w:rsidRPr="005778EE">
        <w:t>sommants</w:t>
      </w:r>
    </w:p>
    <w:p w14:paraId="7CCAB50E" w14:textId="77777777" w:rsidR="00407BD5" w:rsidRPr="00407BD5" w:rsidRDefault="00407BD5" w:rsidP="00407BD5">
      <w:pPr>
        <w:pStyle w:val="Corpsdetexte"/>
      </w:pPr>
      <w:r w:rsidRPr="00407BD5">
        <w:rPr>
          <w:noProof/>
          <w:lang w:eastAsia="fr-FR"/>
        </w:rPr>
        <w:drawing>
          <wp:inline distT="0" distB="0" distL="0" distR="0" wp14:anchorId="5445FCA8" wp14:editId="1BFA93EC">
            <wp:extent cx="5915025" cy="26384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5025" cy="2638425"/>
                    </a:xfrm>
                    <a:prstGeom prst="rect">
                      <a:avLst/>
                    </a:prstGeom>
                    <a:noFill/>
                    <a:ln>
                      <a:noFill/>
                    </a:ln>
                  </pic:spPr>
                </pic:pic>
              </a:graphicData>
            </a:graphic>
          </wp:inline>
        </w:drawing>
      </w:r>
    </w:p>
    <w:p w14:paraId="0790CD68" w14:textId="77777777" w:rsidR="00407BD5" w:rsidRPr="00407BD5" w:rsidRDefault="00407BD5" w:rsidP="00407BD5">
      <w:pPr>
        <w:pStyle w:val="Corpsdetexte"/>
      </w:pPr>
    </w:p>
    <w:p w14:paraId="5924B0DF" w14:textId="573E8D1F" w:rsidR="00407BD5" w:rsidRPr="00407BD5" w:rsidRDefault="00407BD5" w:rsidP="00407BD5">
      <w:pPr>
        <w:pStyle w:val="Corpsdetexte"/>
      </w:pPr>
      <w:r w:rsidRPr="00407BD5">
        <w:t>Pour les personnes en situation de handicap, les dispositifs médicaux pouvant présenter des dépassements sup</w:t>
      </w:r>
      <w:r w:rsidRPr="00407BD5">
        <w:t>é</w:t>
      </w:r>
      <w:r w:rsidRPr="00407BD5">
        <w:t>rieurs à 1</w:t>
      </w:r>
      <w:r w:rsidR="00993B79">
        <w:t xml:space="preserve"> </w:t>
      </w:r>
      <w:r w:rsidRPr="00407BD5">
        <w:t xml:space="preserve">000 </w:t>
      </w:r>
      <w:r w:rsidR="009C3ADC">
        <w:t>euros</w:t>
      </w:r>
      <w:r w:rsidRPr="00407BD5">
        <w:t xml:space="preserve"> sont :</w:t>
      </w:r>
    </w:p>
    <w:p w14:paraId="6FA24DA6" w14:textId="77777777" w:rsidR="00407BD5" w:rsidRPr="00407BD5" w:rsidRDefault="00407BD5" w:rsidP="00FF20C9">
      <w:pPr>
        <w:pStyle w:val="Listecontinue"/>
      </w:pPr>
      <w:r w:rsidRPr="00407BD5">
        <w:t>Les fauteuils roulants électriques</w:t>
      </w:r>
      <w:r w:rsidR="00FF20C9">
        <w:t> ;</w:t>
      </w:r>
    </w:p>
    <w:p w14:paraId="4089D610" w14:textId="77777777" w:rsidR="00407BD5" w:rsidRPr="00407BD5" w:rsidRDefault="00407BD5" w:rsidP="00FF20C9">
      <w:pPr>
        <w:pStyle w:val="Listecontinue"/>
      </w:pPr>
      <w:r w:rsidRPr="00407BD5">
        <w:t>Les lits médicaux à l’achat</w:t>
      </w:r>
      <w:r w:rsidR="00FF20C9">
        <w:t> ;</w:t>
      </w:r>
    </w:p>
    <w:p w14:paraId="02E5E7ED" w14:textId="77777777" w:rsidR="00407BD5" w:rsidRPr="00407BD5" w:rsidRDefault="00407BD5" w:rsidP="00FF20C9">
      <w:pPr>
        <w:pStyle w:val="Listecontinue"/>
      </w:pPr>
      <w:r w:rsidRPr="00407BD5">
        <w:t>Les implants ORL dont les implants cochléaires</w:t>
      </w:r>
      <w:r w:rsidR="00FF20C9">
        <w:t>.</w:t>
      </w:r>
    </w:p>
    <w:p w14:paraId="48FF26D8" w14:textId="77777777" w:rsidR="00407BD5" w:rsidRPr="00407BD5" w:rsidRDefault="00407BD5" w:rsidP="00407BD5">
      <w:pPr>
        <w:pStyle w:val="Corpsdetexte"/>
        <w:rPr>
          <w:b/>
        </w:rPr>
      </w:pPr>
    </w:p>
    <w:p w14:paraId="7F820BB4" w14:textId="3CF0D4CB" w:rsidR="00407BD5" w:rsidRPr="00407BD5" w:rsidRDefault="005778EE" w:rsidP="005778EE">
      <w:pPr>
        <w:pStyle w:val="Lgende"/>
      </w:pPr>
      <w:r>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11</w:t>
      </w:r>
      <w:r w:rsidR="00AF653A">
        <w:rPr>
          <w:noProof/>
        </w:rPr>
        <w:fldChar w:fldCharType="end"/>
      </w:r>
      <w:r>
        <w:t xml:space="preserve"> – </w:t>
      </w:r>
      <w:r w:rsidRPr="005778EE">
        <w:t>AAH et invalidité : Dispositifs médicaux avec les dépassements les plus élevés</w:t>
      </w:r>
    </w:p>
    <w:p w14:paraId="3B07E410" w14:textId="77777777" w:rsidR="00407BD5" w:rsidRPr="00407BD5" w:rsidRDefault="005778EE" w:rsidP="00407BD5">
      <w:pPr>
        <w:pStyle w:val="Corpsdetexte"/>
      </w:pPr>
      <w:r w:rsidRPr="005778EE">
        <w:rPr>
          <w:noProof/>
          <w:lang w:eastAsia="fr-FR"/>
        </w:rPr>
        <w:drawing>
          <wp:inline distT="0" distB="0" distL="0" distR="0" wp14:anchorId="770984DF" wp14:editId="433B4B6F">
            <wp:extent cx="5934075" cy="27527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14:paraId="38C51467" w14:textId="77777777" w:rsidR="00407BD5" w:rsidRPr="00407BD5" w:rsidRDefault="00407BD5" w:rsidP="00407BD5">
      <w:pPr>
        <w:pStyle w:val="Corpsdetexte"/>
      </w:pPr>
    </w:p>
    <w:p w14:paraId="7BAC7E0B" w14:textId="77777777" w:rsidR="00407BD5" w:rsidRPr="00407BD5" w:rsidRDefault="00407BD5" w:rsidP="00407BD5">
      <w:pPr>
        <w:pStyle w:val="Corpsdetexte"/>
      </w:pPr>
    </w:p>
    <w:p w14:paraId="236C68E7" w14:textId="77777777" w:rsidR="00407BD5" w:rsidRPr="00407BD5" w:rsidRDefault="00407BD5" w:rsidP="00407BD5">
      <w:pPr>
        <w:pStyle w:val="Corpsdetexte"/>
      </w:pPr>
      <w:r w:rsidRPr="00407BD5">
        <w:br w:type="page"/>
      </w:r>
    </w:p>
    <w:p w14:paraId="110137F8" w14:textId="15B8D2B4" w:rsidR="001F6F7F" w:rsidRPr="001F6F7F" w:rsidRDefault="001F6F7F" w:rsidP="00BF18AE">
      <w:pPr>
        <w:pStyle w:val="Titre2Annexes"/>
        <w:ind w:left="0"/>
      </w:pPr>
      <w:bookmarkStart w:id="532" w:name="_Toc523327729"/>
      <w:r w:rsidRPr="001F6F7F">
        <w:lastRenderedPageBreak/>
        <w:t>La plateforme d’intervention départementale pour l’accès aux soins et à la santé de l’assurance maladie (</w:t>
      </w:r>
      <w:r w:rsidR="005D22F8">
        <w:t>PFIDASS</w:t>
      </w:r>
      <w:r w:rsidRPr="001F6F7F">
        <w:t>)</w:t>
      </w:r>
      <w:bookmarkEnd w:id="532"/>
    </w:p>
    <w:p w14:paraId="76CCD498" w14:textId="77777777" w:rsidR="001F6F7F" w:rsidRPr="001F6F7F" w:rsidRDefault="001F6F7F" w:rsidP="001F6F7F">
      <w:pPr>
        <w:pStyle w:val="Corpsdetexte"/>
      </w:pPr>
      <w:r w:rsidRPr="001F6F7F">
        <w:t>C’est en vue d’améliorer le recours aux soins que la PFIDASS, plateforme d’intervention départementale pour l’accès aux soins et à la santé a été élaborée, à titre expérimental, par la CPAM du Gard en novembre 2014. Cette plateforme vise notamment à guider les professionnels des institutions et professionnels de santé dans le proce</w:t>
      </w:r>
      <w:r w:rsidRPr="001F6F7F">
        <w:t>s</w:t>
      </w:r>
      <w:r w:rsidRPr="001F6F7F">
        <w:t>sus de repérage des situations de renoncement aux soins. Les assurés sont accompagnés par les agents qui expliquent, ouvrent les droits nécessaires, aident au choix d'une complémentaire santé, accompagnent vers la réalisation des soins, etc.</w:t>
      </w:r>
    </w:p>
    <w:p w14:paraId="2B04D191" w14:textId="6E780134" w:rsidR="001F6F7F" w:rsidRPr="001F6F7F" w:rsidRDefault="009E5A53" w:rsidP="001F6F7F">
      <w:pPr>
        <w:pStyle w:val="Corpsdetexte"/>
      </w:pPr>
      <w:r w:rsidRPr="001F6F7F">
        <w:t>Cette plateforme peut être saisie par des personnes habilitées en interne dans les services de l’assurance maladie (agents d’accueil, professionnels de centres d’examen de santé, service d’action sanitaire et sociale, service méd</w:t>
      </w:r>
      <w:r w:rsidRPr="001F6F7F">
        <w:t>i</w:t>
      </w:r>
      <w:r w:rsidRPr="001F6F7F">
        <w:t>cal, etc.), par des professionnels de santé (médecins, dentistes, infirmiers, maisons de santé pluri</w:t>
      </w:r>
      <w:r w:rsidR="00993B79">
        <w:t>-</w:t>
      </w:r>
      <w:r w:rsidRPr="001F6F7F">
        <w:t>professionnell</w:t>
      </w:r>
      <w:r>
        <w:t>es</w:t>
      </w:r>
      <w:r w:rsidRPr="001F6F7F">
        <w:t>), par des membres d’institutions partenaires (PASS, CCAS, ateliers santé Ville, CAF, mutuelles, etc.).</w:t>
      </w:r>
    </w:p>
    <w:p w14:paraId="72E87560" w14:textId="77777777" w:rsidR="001F6F7F" w:rsidRPr="001F6F7F" w:rsidRDefault="001F6F7F" w:rsidP="001F6F7F">
      <w:pPr>
        <w:pStyle w:val="Corpsdetexte"/>
      </w:pPr>
      <w:r w:rsidRPr="001F6F7F">
        <w:t xml:space="preserve">La saisine peut se faire via un formulaire de saisine en ligne disponible sur le site partenaires de la CPAM du Gard, </w:t>
      </w:r>
      <w:r w:rsidRPr="0057371A">
        <w:rPr>
          <w:i/>
        </w:rPr>
        <w:t>via</w:t>
      </w:r>
      <w:r w:rsidRPr="001F6F7F">
        <w:t xml:space="preserve"> un formulaire de repérage papier ou par téléphone.</w:t>
      </w:r>
    </w:p>
    <w:p w14:paraId="5AEBCB93" w14:textId="0959ABC2" w:rsidR="001F6F7F" w:rsidRPr="001F6F7F" w:rsidRDefault="001F6F7F" w:rsidP="001F6F7F">
      <w:pPr>
        <w:pStyle w:val="Corpsdetexte"/>
      </w:pPr>
      <w:r w:rsidRPr="001F6F7F">
        <w:t>La PFIDASS réalise un bilan des droits et</w:t>
      </w:r>
      <w:r w:rsidR="00993B79">
        <w:t>,</w:t>
      </w:r>
      <w:r w:rsidRPr="001F6F7F">
        <w:t xml:space="preserve"> en fonction de la situation</w:t>
      </w:r>
      <w:r w:rsidR="00993B79">
        <w:t>,</w:t>
      </w:r>
      <w:r w:rsidRPr="001F6F7F">
        <w:t xml:space="preserve"> peut :</w:t>
      </w:r>
    </w:p>
    <w:p w14:paraId="22EDAF3B" w14:textId="602C935F" w:rsidR="001F6F7F" w:rsidRPr="001F6F7F" w:rsidRDefault="001F6F7F" w:rsidP="001F6F7F">
      <w:pPr>
        <w:pStyle w:val="Listecontinue"/>
        <w:rPr>
          <w:rFonts w:eastAsiaTheme="minorHAnsi"/>
        </w:rPr>
      </w:pPr>
      <w:r w:rsidRPr="001F6F7F">
        <w:rPr>
          <w:rFonts w:eastAsiaTheme="minorHAnsi"/>
        </w:rPr>
        <w:t>attribuer et</w:t>
      </w:r>
      <w:r w:rsidR="00152A9E">
        <w:rPr>
          <w:rFonts w:eastAsiaTheme="minorHAnsi"/>
        </w:rPr>
        <w:t xml:space="preserve"> </w:t>
      </w:r>
      <w:r w:rsidRPr="001F6F7F">
        <w:rPr>
          <w:rFonts w:eastAsiaTheme="minorHAnsi"/>
        </w:rPr>
        <w:t>/</w:t>
      </w:r>
      <w:r w:rsidR="00152A9E">
        <w:rPr>
          <w:rFonts w:eastAsiaTheme="minorHAnsi"/>
        </w:rPr>
        <w:t xml:space="preserve"> </w:t>
      </w:r>
      <w:r w:rsidRPr="001F6F7F">
        <w:rPr>
          <w:rFonts w:eastAsiaTheme="minorHAnsi"/>
        </w:rPr>
        <w:t>ou expliquer les droits (CMU-C, ACS),</w:t>
      </w:r>
    </w:p>
    <w:p w14:paraId="13682255" w14:textId="77777777" w:rsidR="001F6F7F" w:rsidRPr="001F6F7F" w:rsidRDefault="001F6F7F" w:rsidP="001F6F7F">
      <w:pPr>
        <w:pStyle w:val="Listecontinue"/>
        <w:rPr>
          <w:rFonts w:eastAsiaTheme="minorHAnsi"/>
        </w:rPr>
      </w:pPr>
      <w:r w:rsidRPr="001F6F7F">
        <w:rPr>
          <w:rFonts w:eastAsiaTheme="minorHAnsi"/>
        </w:rPr>
        <w:t>aider au choix d’une complémentaire santé,</w:t>
      </w:r>
    </w:p>
    <w:p w14:paraId="1CF9DDB0" w14:textId="77777777" w:rsidR="001F6F7F" w:rsidRPr="001F6F7F" w:rsidRDefault="001F6F7F" w:rsidP="001F6F7F">
      <w:pPr>
        <w:pStyle w:val="Listecontinue"/>
        <w:rPr>
          <w:rFonts w:eastAsiaTheme="minorHAnsi"/>
        </w:rPr>
      </w:pPr>
      <w:r w:rsidRPr="001F6F7F">
        <w:rPr>
          <w:rFonts w:eastAsiaTheme="minorHAnsi"/>
        </w:rPr>
        <w:t>élaborer des plans d’aides financières associant d’autres partenaires,</w:t>
      </w:r>
    </w:p>
    <w:p w14:paraId="38BA755D" w14:textId="77777777" w:rsidR="001F6F7F" w:rsidRPr="001F6F7F" w:rsidRDefault="001F6F7F" w:rsidP="001F6F7F">
      <w:pPr>
        <w:pStyle w:val="Listecontinue"/>
        <w:rPr>
          <w:rFonts w:eastAsiaTheme="minorHAnsi"/>
        </w:rPr>
      </w:pPr>
      <w:r w:rsidRPr="001F6F7F">
        <w:rPr>
          <w:rFonts w:eastAsiaTheme="minorHAnsi"/>
        </w:rPr>
        <w:t>orienter vers le professionnel de santé le plus adapté,</w:t>
      </w:r>
    </w:p>
    <w:p w14:paraId="6435551D" w14:textId="77777777" w:rsidR="001F6F7F" w:rsidRPr="001F6F7F" w:rsidRDefault="001F6F7F" w:rsidP="001F6F7F">
      <w:pPr>
        <w:pStyle w:val="Listecontinue"/>
        <w:rPr>
          <w:rFonts w:eastAsiaTheme="minorHAnsi"/>
        </w:rPr>
      </w:pPr>
      <w:r w:rsidRPr="001F6F7F">
        <w:rPr>
          <w:rFonts w:eastAsiaTheme="minorHAnsi"/>
        </w:rPr>
        <w:t>orienter vers le service social,</w:t>
      </w:r>
    </w:p>
    <w:p w14:paraId="6D0F1BB0" w14:textId="77777777" w:rsidR="001F6F7F" w:rsidRPr="001F6F7F" w:rsidRDefault="001F6F7F" w:rsidP="001F6F7F">
      <w:pPr>
        <w:pStyle w:val="Listecontinue"/>
        <w:rPr>
          <w:rFonts w:eastAsiaTheme="minorHAnsi"/>
        </w:rPr>
      </w:pPr>
      <w:r w:rsidRPr="001F6F7F">
        <w:rPr>
          <w:rFonts w:eastAsiaTheme="minorHAnsi"/>
        </w:rPr>
        <w:t>interagir avec le conciliateur (en cas de refus de soins, choix du médecin traitant).</w:t>
      </w:r>
    </w:p>
    <w:p w14:paraId="77A62D30" w14:textId="0CD3227A" w:rsidR="001F6F7F" w:rsidRPr="001F6F7F" w:rsidRDefault="001F6F7F" w:rsidP="001F6F7F">
      <w:pPr>
        <w:pStyle w:val="Corpsdetexte"/>
      </w:pPr>
      <w:r w:rsidRPr="001F6F7F">
        <w:t>Le travail d’accompagnement s’achève une fois les soins effectivement réalisés. Un site partenaire permet au « d</w:t>
      </w:r>
      <w:r w:rsidRPr="001F6F7F">
        <w:t>é</w:t>
      </w:r>
      <w:r w:rsidRPr="001F6F7F">
        <w:t>tecteur » de suivre les résultats d'intervention de la PFIDASS.</w:t>
      </w:r>
    </w:p>
    <w:p w14:paraId="3D208D30" w14:textId="77777777" w:rsidR="001F6F7F" w:rsidRPr="001F6F7F" w:rsidRDefault="001F6F7F" w:rsidP="001F6F7F">
      <w:pPr>
        <w:pStyle w:val="Corpsdetexte"/>
        <w:rPr>
          <w:u w:val="single"/>
        </w:rPr>
      </w:pPr>
      <w:r w:rsidRPr="001F6F7F">
        <w:rPr>
          <w:u w:val="single"/>
        </w:rPr>
        <w:t>Les résultats</w:t>
      </w:r>
    </w:p>
    <w:p w14:paraId="24D542EE" w14:textId="1ADE5C18" w:rsidR="001F6F7F" w:rsidRPr="001F6F7F" w:rsidRDefault="001F6F7F" w:rsidP="001F6F7F">
      <w:pPr>
        <w:pStyle w:val="Corpsdetexte"/>
      </w:pPr>
      <w:r w:rsidRPr="001F6F7F">
        <w:t xml:space="preserve">Au 31 mars 2018, 71 CPAM avaient déployé </w:t>
      </w:r>
      <w:r w:rsidR="005D22F8">
        <w:t>PFIDASS</w:t>
      </w:r>
      <w:r w:rsidRPr="001F6F7F">
        <w:t xml:space="preserve"> et plus de 35 400 assurés en avaient bénéficié. Chaque s</w:t>
      </w:r>
      <w:r w:rsidRPr="001F6F7F">
        <w:t>e</w:t>
      </w:r>
      <w:r w:rsidRPr="001F6F7F">
        <w:t>maine, 480 assurés entrent dans le dispositif. Parmi les accompagnements clôturés, près d'un dossier sur deux a abouti à une réalisation des soins, 12 701 assurés ont vu leurs droits ouverts, 6 030 ont été mieux orientés dans le système de soins, 4 480 ont bénéficié d'un accompagnement financier, et 1 392 assurés ont pu bénéficier d'une orientation vers un partenaire.</w:t>
      </w:r>
    </w:p>
    <w:p w14:paraId="24756BCB" w14:textId="2CE4D37F" w:rsidR="001F6F7F" w:rsidRPr="001F6F7F" w:rsidRDefault="001F6F7F" w:rsidP="001F6F7F">
      <w:pPr>
        <w:pStyle w:val="Corpsdetexte"/>
      </w:pPr>
      <w:r w:rsidRPr="001F6F7F">
        <w:t xml:space="preserve">Les 3 principaux canaux de détection sont les accueils des CPAM (52%), les services back office des CPAM (18%) et les Centres d’examen de santé (13%). Viennent ensuite les partenaires externes et professionnels de santé (8%), le service social de la </w:t>
      </w:r>
      <w:r w:rsidR="00993B79" w:rsidRPr="00993B79">
        <w:t xml:space="preserve">Caisse d'assurance retraite et de la santé au travail </w:t>
      </w:r>
      <w:r w:rsidR="00993B79">
        <w:t>(</w:t>
      </w:r>
      <w:r w:rsidRPr="001F6F7F">
        <w:t>CARSAT</w:t>
      </w:r>
      <w:r w:rsidR="00993B79">
        <w:t>)</w:t>
      </w:r>
      <w:r w:rsidRPr="001F6F7F">
        <w:t xml:space="preserve"> (5%) et le service médical (3%).</w:t>
      </w:r>
    </w:p>
    <w:p w14:paraId="47B52196" w14:textId="77777777" w:rsidR="001F6F7F" w:rsidRPr="001F6F7F" w:rsidRDefault="001F6F7F" w:rsidP="001F6F7F">
      <w:pPr>
        <w:pStyle w:val="Corpsdetexte"/>
      </w:pPr>
      <w:r w:rsidRPr="001F6F7F">
        <w:t xml:space="preserve">Dans la moitié des cas, les accompagnements ont abouti à la réalisation des soins. Pour ces situations, la durée moyenne des accompagnements a été de 90 jours. </w:t>
      </w:r>
    </w:p>
    <w:p w14:paraId="0AD66557" w14:textId="61927C16" w:rsidR="001F6F7F" w:rsidRPr="001F6F7F" w:rsidRDefault="001F6F7F" w:rsidP="001F6F7F">
      <w:pPr>
        <w:pStyle w:val="Corpsdetexte"/>
      </w:pPr>
      <w:r w:rsidRPr="001F6F7F">
        <w:t>Le bilan du dispositif confirme le principal constat déjà établi lors de la première vague de déploiement dans les CPAM : la majorité des renoncements résolus concernaient des soins dentaires conservateurs ou des soins de</w:t>
      </w:r>
      <w:r w:rsidRPr="001F6F7F">
        <w:t>n</w:t>
      </w:r>
      <w:r w:rsidRPr="001F6F7F">
        <w:t xml:space="preserve">taires prothétiques ou d’orthodontie (40%), le deuxième poste étant les actes de </w:t>
      </w:r>
      <w:r w:rsidR="00993B79">
        <w:t xml:space="preserve">médecins </w:t>
      </w:r>
      <w:r w:rsidRPr="001F6F7F">
        <w:t>spécialistes.</w:t>
      </w:r>
    </w:p>
    <w:p w14:paraId="5DFA7905" w14:textId="3387F2CB" w:rsidR="001F6F7F" w:rsidRPr="001F6F7F" w:rsidRDefault="001F6F7F" w:rsidP="001F6F7F">
      <w:pPr>
        <w:pStyle w:val="Lgende"/>
        <w:rPr>
          <w:b/>
        </w:rPr>
      </w:pPr>
      <w:r>
        <w:lastRenderedPageBreak/>
        <w:t xml:space="preserve">Tableau </w:t>
      </w:r>
      <w:r w:rsidR="00AF653A">
        <w:rPr>
          <w:noProof/>
        </w:rPr>
        <w:fldChar w:fldCharType="begin"/>
      </w:r>
      <w:r w:rsidR="00AF653A">
        <w:rPr>
          <w:noProof/>
        </w:rPr>
        <w:instrText xml:space="preserve"> SEQ Tableau \* ARABIC </w:instrText>
      </w:r>
      <w:r w:rsidR="00AF653A">
        <w:rPr>
          <w:noProof/>
        </w:rPr>
        <w:fldChar w:fldCharType="separate"/>
      </w:r>
      <w:r w:rsidR="00F20957">
        <w:rPr>
          <w:noProof/>
        </w:rPr>
        <w:t>12</w:t>
      </w:r>
      <w:r w:rsidR="00AF653A">
        <w:rPr>
          <w:noProof/>
        </w:rPr>
        <w:fldChar w:fldCharType="end"/>
      </w:r>
      <w:r>
        <w:t xml:space="preserve"> – </w:t>
      </w:r>
      <w:r w:rsidRPr="001F6F7F">
        <w:t>Répartition de la nature des renoncements résolus au 31 mars 2018</w:t>
      </w:r>
    </w:p>
    <w:p w14:paraId="6D019A6B" w14:textId="77777777" w:rsidR="001F6F7F" w:rsidRPr="001F6F7F" w:rsidRDefault="001F6F7F" w:rsidP="001F6F7F">
      <w:pPr>
        <w:pStyle w:val="Corpsdetexte"/>
      </w:pPr>
      <w:r w:rsidRPr="001F6F7F">
        <w:rPr>
          <w:noProof/>
          <w:lang w:eastAsia="fr-FR"/>
        </w:rPr>
        <w:drawing>
          <wp:inline distT="0" distB="0" distL="0" distR="0" wp14:anchorId="54C9B4DE" wp14:editId="592C96CB">
            <wp:extent cx="5153025" cy="109234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1335" cy="1094108"/>
                    </a:xfrm>
                    <a:prstGeom prst="rect">
                      <a:avLst/>
                    </a:prstGeom>
                    <a:noFill/>
                    <a:ln>
                      <a:noFill/>
                    </a:ln>
                  </pic:spPr>
                </pic:pic>
              </a:graphicData>
            </a:graphic>
          </wp:inline>
        </w:drawing>
      </w:r>
    </w:p>
    <w:p w14:paraId="718DE065" w14:textId="77777777" w:rsidR="001F6F7F" w:rsidRPr="001F6F7F" w:rsidRDefault="001F6F7F" w:rsidP="001F6F7F">
      <w:pPr>
        <w:pStyle w:val="Corpsdetexte"/>
      </w:pPr>
    </w:p>
    <w:p w14:paraId="6AE687B0" w14:textId="77777777" w:rsidR="001F6F7F" w:rsidRPr="001F6F7F" w:rsidRDefault="001F6F7F" w:rsidP="00BF18AE">
      <w:pPr>
        <w:pStyle w:val="Titre2Annexes"/>
        <w:ind w:left="0"/>
      </w:pPr>
      <w:bookmarkStart w:id="533" w:name="_Toc518750612"/>
      <w:bookmarkStart w:id="534" w:name="_Toc523327730"/>
      <w:r w:rsidRPr="001F6F7F">
        <w:lastRenderedPageBreak/>
        <w:t>Les solutions d’appui et d’accompagnement des professionnels de santé</w:t>
      </w:r>
      <w:bookmarkEnd w:id="533"/>
      <w:bookmarkEnd w:id="534"/>
    </w:p>
    <w:p w14:paraId="37B5B0FD" w14:textId="420C44DD" w:rsidR="00DC4D6E" w:rsidRDefault="001F6F7F" w:rsidP="001F6F7F">
      <w:pPr>
        <w:pStyle w:val="Corpsdetexte"/>
      </w:pPr>
      <w:r w:rsidRPr="001F6F7F">
        <w:t>La mise en place des PTA inscrites dans la loi de modernisation de notre système de santé de 2016 apporte une réponse pour faciliter les relations entre la ville, l’hôpital et les structures médico-sociales. La PTA vient en soutien à l’ensemble des professionnels sanitaires, sociaux et médico-sociaux qui ont besoin de recourir à des comp</w:t>
      </w:r>
      <w:r w:rsidRPr="001F6F7F">
        <w:t>é</w:t>
      </w:r>
      <w:r w:rsidRPr="001F6F7F">
        <w:t>tences complémentaires pour les patients relevant d’un parcours de santé co</w:t>
      </w:r>
      <w:r w:rsidRPr="001F6F7F">
        <w:t>m</w:t>
      </w:r>
      <w:r w:rsidRPr="001F6F7F">
        <w:t xml:space="preserve">plexe, et ce, quels que soient l’âge et la pathologie du patient. </w:t>
      </w:r>
    </w:p>
    <w:p w14:paraId="28F054AA" w14:textId="36E2C5C9" w:rsidR="001F6F7F" w:rsidRPr="001F6F7F" w:rsidRDefault="001F6F7F" w:rsidP="001F6F7F">
      <w:pPr>
        <w:pStyle w:val="Corpsdetexte"/>
      </w:pPr>
      <w:r w:rsidRPr="001F6F7F">
        <w:rPr>
          <w:u w:val="single"/>
        </w:rPr>
        <w:t>Exemple</w:t>
      </w:r>
      <w:r w:rsidRPr="001F6F7F">
        <w:t xml:space="preserve"> : une personne âgée atteinte de plusieurs pathologies, vivant toujours à domicile mais qui fait de plus en plus de chutes, isolée car sans aidant, et présentant des difficultés économiques pour lesquelles des aides sociales seraient nécessaires. </w:t>
      </w:r>
    </w:p>
    <w:p w14:paraId="26ECBCA0" w14:textId="77777777" w:rsidR="001F6F7F" w:rsidRPr="001F6F7F" w:rsidRDefault="001F6F7F" w:rsidP="001F6F7F">
      <w:pPr>
        <w:pStyle w:val="Corpsdetexte"/>
      </w:pPr>
      <w:r w:rsidRPr="001F6F7F">
        <w:t xml:space="preserve">La PTA peut apporter plusieurs types de services : </w:t>
      </w:r>
    </w:p>
    <w:p w14:paraId="630D08CF" w14:textId="77777777" w:rsidR="001F6F7F" w:rsidRPr="001F6F7F" w:rsidRDefault="001F6F7F" w:rsidP="003555DB">
      <w:pPr>
        <w:pStyle w:val="Titre6"/>
        <w:numPr>
          <w:ilvl w:val="5"/>
          <w:numId w:val="18"/>
        </w:numPr>
      </w:pPr>
      <w:r w:rsidRPr="001F6F7F">
        <w:t>Information et orientation des professionnels vers les ressources sanitaires, sociales et médico-sociales du territoire.</w:t>
      </w:r>
    </w:p>
    <w:p w14:paraId="5D073097" w14:textId="44D9359F" w:rsidR="001F6F7F" w:rsidRPr="001F6F7F" w:rsidRDefault="001F6F7F" w:rsidP="001F6F7F">
      <w:pPr>
        <w:pStyle w:val="Corpsdetexte"/>
      </w:pPr>
      <w:r w:rsidRPr="001F6F7F">
        <w:t xml:space="preserve">La plateforme peut, par exemple, identifier une aide à domicile, orienter vers un médecin spécialiste de ville ou à l’hôpital, trouver une place en établissement d’hébergement pour personnes âgées ou pour personnes en situation de handicap.  </w:t>
      </w:r>
    </w:p>
    <w:p w14:paraId="77E004C4" w14:textId="77777777" w:rsidR="00BC0E5F" w:rsidRDefault="001F6F7F" w:rsidP="00BC0E5F">
      <w:pPr>
        <w:pStyle w:val="Titre6"/>
      </w:pPr>
      <w:r w:rsidRPr="001F6F7F">
        <w:t xml:space="preserve">Appui à l’organisation des parcours complexes, pour une durée adaptée aux besoins du patient. </w:t>
      </w:r>
    </w:p>
    <w:p w14:paraId="6823D354" w14:textId="77777777" w:rsidR="001F6F7F" w:rsidRPr="00BC0E5F" w:rsidRDefault="001F6F7F" w:rsidP="001F6F7F">
      <w:pPr>
        <w:pStyle w:val="Corpsdetexte"/>
      </w:pPr>
      <w:r w:rsidRPr="00BC0E5F">
        <w:t>Cette mission comprend :</w:t>
      </w:r>
    </w:p>
    <w:p w14:paraId="416F2EBC" w14:textId="77777777" w:rsidR="001F6F7F" w:rsidRPr="001F6F7F" w:rsidRDefault="001F6F7F" w:rsidP="00BC0E5F">
      <w:pPr>
        <w:pStyle w:val="Listecontinue"/>
      </w:pPr>
      <w:r w:rsidRPr="001F6F7F">
        <w:t xml:space="preserve">l’évaluation sanitaire et sociale de la situation et des besoins du patient ainsi que la synthèse des évaluations ; </w:t>
      </w:r>
    </w:p>
    <w:p w14:paraId="6160A761" w14:textId="77777777" w:rsidR="001F6F7F" w:rsidRPr="001F6F7F" w:rsidRDefault="001F6F7F" w:rsidP="00BC0E5F">
      <w:pPr>
        <w:pStyle w:val="Listecontinue"/>
      </w:pPr>
      <w:r w:rsidRPr="001F6F7F">
        <w:t>l’appui à l’organisation de la concertation pluri professionnelle ;</w:t>
      </w:r>
    </w:p>
    <w:p w14:paraId="54022036" w14:textId="77777777" w:rsidR="001F6F7F" w:rsidRPr="001F6F7F" w:rsidRDefault="001F6F7F" w:rsidP="00BC0E5F">
      <w:pPr>
        <w:pStyle w:val="Listecontinue"/>
      </w:pPr>
      <w:r w:rsidRPr="001F6F7F">
        <w:t>la planification de la prise en charge, le suivi et la programmation des interventions auprès du patient, dont l’organisation des admissions et sorties des établissements, en veillant à favoriser le maintien à domicile ;</w:t>
      </w:r>
    </w:p>
    <w:p w14:paraId="709A87A3" w14:textId="77777777" w:rsidR="001F6F7F" w:rsidRPr="001F6F7F" w:rsidRDefault="001F6F7F" w:rsidP="001F6F7F">
      <w:pPr>
        <w:pStyle w:val="Listecontinue"/>
      </w:pPr>
      <w:r w:rsidRPr="001F6F7F">
        <w:t xml:space="preserve">l’appui à la coordination des interventions autour du patient. </w:t>
      </w:r>
    </w:p>
    <w:p w14:paraId="7352781D" w14:textId="70A4193D" w:rsidR="001F6F7F" w:rsidRPr="001F6F7F" w:rsidRDefault="001F6F7F" w:rsidP="001F6F7F">
      <w:pPr>
        <w:pStyle w:val="Corpsdetexte"/>
      </w:pPr>
      <w:r w:rsidRPr="001F6F7F">
        <w:rPr>
          <w:u w:val="single"/>
        </w:rPr>
        <w:t xml:space="preserve">Exemples : </w:t>
      </w:r>
      <w:r w:rsidRPr="001F6F7F">
        <w:t>La plateforme peut faire une évaluation multidimensionnelle, programmer l’intervention d’une infi</w:t>
      </w:r>
      <w:r w:rsidRPr="001F6F7F">
        <w:t>r</w:t>
      </w:r>
      <w:r w:rsidRPr="001F6F7F">
        <w:t xml:space="preserve">mière à domicile, faire une demande d’aménagement du domicile à un ergothérapeute, ou bien prendre contact avec la </w:t>
      </w:r>
      <w:r w:rsidR="00993B79">
        <w:t>MDPH</w:t>
      </w:r>
      <w:r w:rsidRPr="001F6F7F">
        <w:t xml:space="preserve"> pour que la personne bénéficie de la prestation de compensation du handicap.</w:t>
      </w:r>
    </w:p>
    <w:p w14:paraId="3DD6F323" w14:textId="77777777" w:rsidR="001F6F7F" w:rsidRPr="00BC0E5F" w:rsidRDefault="001F6F7F" w:rsidP="001F6F7F">
      <w:pPr>
        <w:pStyle w:val="Corpsdetexte"/>
      </w:pPr>
      <w:r w:rsidRPr="001F6F7F">
        <w:t>La plateforme est aussi l’interlocuteur des professionnels de ville et des structures médico-sociales et sociales pour organiser les entrées et sorties de l’hôpital des patients notamment en situation complexe en répondant aux que</w:t>
      </w:r>
      <w:r w:rsidRPr="001F6F7F">
        <w:t>s</w:t>
      </w:r>
      <w:r w:rsidRPr="001F6F7F">
        <w:t>tions de l’équipe hospitalière, faisant le lien avec le médecin traitant et planifiant le retour à domicile avec l’équipe de soins et d’aide.</w:t>
      </w:r>
    </w:p>
    <w:p w14:paraId="7A3A5044" w14:textId="77777777" w:rsidR="001F6F7F" w:rsidRPr="001F6F7F" w:rsidRDefault="001F6F7F" w:rsidP="00BC0E5F">
      <w:pPr>
        <w:pStyle w:val="Titre6"/>
      </w:pPr>
      <w:r w:rsidRPr="001F6F7F">
        <w:t>Le soutien aux pratiques et initiatives professionnelles en matière d’organisation et de sécurité des parcours, d’accès aux soins et de coordination</w:t>
      </w:r>
    </w:p>
    <w:p w14:paraId="2A2636A4" w14:textId="606E05EA" w:rsidR="001F6F7F" w:rsidRPr="001F6F7F" w:rsidRDefault="001F6F7F" w:rsidP="001F6F7F">
      <w:pPr>
        <w:pStyle w:val="Corpsdetexte"/>
      </w:pPr>
      <w:r w:rsidRPr="001F6F7F">
        <w:t>Cette mission comprend notamment la diffusion d’outils pour le repérage et l’évaluation des situations complexes, l’aide à l’élaboration et la diffusion de protocoles pluri-professionnels, aide au montage de projets territoriaux</w:t>
      </w:r>
      <w:r w:rsidR="00E95A5A">
        <w:t>,</w:t>
      </w:r>
      <w:r w:rsidRPr="001F6F7F">
        <w:t xml:space="preserve"> etc.</w:t>
      </w:r>
    </w:p>
    <w:p w14:paraId="170B07D3" w14:textId="77777777" w:rsidR="001F6F7F" w:rsidRPr="001F6F7F" w:rsidRDefault="001F6F7F" w:rsidP="001F6F7F">
      <w:pPr>
        <w:pStyle w:val="Corpsdetexte"/>
      </w:pPr>
    </w:p>
    <w:p w14:paraId="1D37DFC1" w14:textId="77777777" w:rsidR="00AF46DC" w:rsidRDefault="00AF46DC" w:rsidP="00AF46DC">
      <w:pPr>
        <w:pStyle w:val="Corpsdetexte"/>
      </w:pPr>
    </w:p>
    <w:p w14:paraId="038FA823" w14:textId="77777777" w:rsidR="00BC0E5F" w:rsidRPr="00BC0E5F" w:rsidRDefault="00BC0E5F" w:rsidP="0089253F">
      <w:pPr>
        <w:pStyle w:val="Titre2Annexes"/>
        <w:ind w:left="0"/>
      </w:pPr>
      <w:bookmarkStart w:id="535" w:name="_Toc518750613"/>
      <w:bookmarkStart w:id="536" w:name="_Toc523327731"/>
      <w:bookmarkEnd w:id="3"/>
      <w:bookmarkEnd w:id="4"/>
      <w:bookmarkEnd w:id="5"/>
      <w:bookmarkEnd w:id="342"/>
      <w:r w:rsidRPr="00BC0E5F">
        <w:lastRenderedPageBreak/>
        <w:t>La valorisation de la prise en charge des personnes fragiles dans la rémunération des médecins</w:t>
      </w:r>
      <w:bookmarkEnd w:id="535"/>
      <w:bookmarkEnd w:id="536"/>
    </w:p>
    <w:p w14:paraId="393202F5" w14:textId="770D1616" w:rsidR="00BC0E5F" w:rsidRPr="00BC0E5F" w:rsidRDefault="00BC0E5F" w:rsidP="00BC0E5F">
      <w:pPr>
        <w:pStyle w:val="Corpsdetexte"/>
      </w:pPr>
      <w:r w:rsidRPr="00BC0E5F">
        <w:t>Suite à la convention médicale 2016, les trois piliers de la rémunération restent la rémunération à l’acte, la rém</w:t>
      </w:r>
      <w:r w:rsidRPr="00BC0E5F">
        <w:t>u</w:t>
      </w:r>
      <w:r w:rsidRPr="00BC0E5F">
        <w:t>nération forfaitaire et la ROSP.</w:t>
      </w:r>
    </w:p>
    <w:p w14:paraId="4EA84C57" w14:textId="4C153271" w:rsidR="00BC0E5F" w:rsidRPr="00BC0E5F" w:rsidRDefault="00BC0E5F" w:rsidP="00BC0E5F">
      <w:pPr>
        <w:pStyle w:val="Corpsdetexte"/>
      </w:pPr>
      <w:r w:rsidRPr="00BC0E5F">
        <w:t xml:space="preserve">La rémunération à l’acte comprend un </w:t>
      </w:r>
      <w:r w:rsidRPr="00BC0E5F">
        <w:rPr>
          <w:b/>
        </w:rPr>
        <w:t>tarif opposable</w:t>
      </w:r>
      <w:r w:rsidRPr="00BC0E5F">
        <w:t xml:space="preserve"> (consultations de références) auquel peuvent s’ajouter des </w:t>
      </w:r>
      <w:r w:rsidRPr="00BC0E5F">
        <w:rPr>
          <w:b/>
        </w:rPr>
        <w:t>dépassements d’honoraires</w:t>
      </w:r>
      <w:r w:rsidRPr="00BC0E5F">
        <w:t xml:space="preserve"> notamment pour les médecins ayant droit au dépassement permanent, et des </w:t>
      </w:r>
      <w:r w:rsidRPr="00BC0E5F">
        <w:rPr>
          <w:b/>
        </w:rPr>
        <w:t>maj</w:t>
      </w:r>
      <w:r w:rsidRPr="00BC0E5F">
        <w:rPr>
          <w:b/>
        </w:rPr>
        <w:t>o</w:t>
      </w:r>
      <w:r w:rsidRPr="00BC0E5F">
        <w:rPr>
          <w:b/>
        </w:rPr>
        <w:t>rations</w:t>
      </w:r>
      <w:r w:rsidRPr="00BC0E5F">
        <w:t>. En effet, la tarification à l’acte donne lieu à des majorations dans des cas particuliers : consultations coordonnées entre médecin traitant et médecin correspondant, consultations pour des pathologies complexes (exemple : patient atteint de sclérose en plaques) ou très complexes (exemple : enfant atteint d’un handicap ne</w:t>
      </w:r>
      <w:r w:rsidRPr="00BC0E5F">
        <w:t>u</w:t>
      </w:r>
      <w:r w:rsidRPr="00BC0E5F">
        <w:t>rosensoriel sévère), consultations urgentes</w:t>
      </w:r>
      <w:r w:rsidR="00E95A5A">
        <w:t>, etc.</w:t>
      </w:r>
    </w:p>
    <w:p w14:paraId="29858F8E" w14:textId="28A54F8C" w:rsidR="00BC0E5F" w:rsidRPr="00BC0E5F" w:rsidRDefault="00BC0E5F" w:rsidP="00BC0E5F">
      <w:pPr>
        <w:pStyle w:val="Corpsdetexte"/>
      </w:pPr>
      <w:r w:rsidRPr="00BC0E5F">
        <w:t xml:space="preserve">Ensuite, une part de la rémunération des médecins est forfaitaire, elle permet de rémunérer non plus des actes ponctuels mais un suivi au long terme des patients. Pour les médecins traitants, un </w:t>
      </w:r>
      <w:r w:rsidRPr="00BC0E5F">
        <w:rPr>
          <w:b/>
        </w:rPr>
        <w:t>forfait « patientèle »</w:t>
      </w:r>
      <w:r w:rsidRPr="00BC0E5F">
        <w:t xml:space="preserve"> est pr</w:t>
      </w:r>
      <w:r w:rsidRPr="00BC0E5F">
        <w:t>é</w:t>
      </w:r>
      <w:r w:rsidRPr="00BC0E5F">
        <w:t xml:space="preserve">vu ; il tient compte de la complexité du suivi de certains patients (âge, pathologie </w:t>
      </w:r>
      <w:r w:rsidR="003B5BF5">
        <w:t xml:space="preserve">- </w:t>
      </w:r>
      <w:r w:rsidRPr="00BC0E5F">
        <w:t>ALD</w:t>
      </w:r>
      <w:r w:rsidR="003B5BF5">
        <w:t xml:space="preserve"> -</w:t>
      </w:r>
      <w:r w:rsidRPr="00BC0E5F">
        <w:t xml:space="preserve"> et précarité </w:t>
      </w:r>
      <w:r w:rsidR="003B5BF5">
        <w:t xml:space="preserve">- </w:t>
      </w:r>
      <w:r w:rsidRPr="00BC0E5F">
        <w:t>CMU</w:t>
      </w:r>
      <w:r w:rsidR="003B5BF5">
        <w:t>-</w:t>
      </w:r>
      <w:r w:rsidRPr="00BC0E5F">
        <w:t>C</w:t>
      </w:r>
      <w:r w:rsidR="003B5BF5">
        <w:t xml:space="preserve"> -</w:t>
      </w:r>
      <w:r w:rsidRPr="00BC0E5F">
        <w:t xml:space="preserve">). Tous les médecins peuvent aussi bénéficier d’un </w:t>
      </w:r>
      <w:r w:rsidRPr="00BC0E5F">
        <w:rPr>
          <w:b/>
        </w:rPr>
        <w:t>forfait structure</w:t>
      </w:r>
      <w:r w:rsidRPr="00BC0E5F">
        <w:t xml:space="preserve"> qui vise à les accompagner dans la mise en place d’outils et d’organisations nouvelles facilitant la gestion de son cabinet au quotidien. </w:t>
      </w:r>
    </w:p>
    <w:p w14:paraId="03E10E49" w14:textId="42D710E0" w:rsidR="00BC0E5F" w:rsidRPr="00BC0E5F" w:rsidRDefault="00BC0E5F" w:rsidP="00BC0E5F">
      <w:pPr>
        <w:pStyle w:val="Corpsdetexte"/>
      </w:pPr>
      <w:r w:rsidRPr="00BC0E5F">
        <w:t>Enfin, la ROSP est calculée sur la base d’indicateurs concernant le suivi des pathologies chroniques (diabètes, risques cardio-vasculaires, hypertension artérielle</w:t>
      </w:r>
      <w:r w:rsidR="00E95A5A">
        <w:t>, etc.</w:t>
      </w:r>
      <w:r w:rsidRPr="00BC0E5F">
        <w:t>), l’efficience (génériques, bio-similaires</w:t>
      </w:r>
      <w:r w:rsidR="00E95A5A">
        <w:t>, etc.</w:t>
      </w:r>
      <w:r w:rsidRPr="00BC0E5F">
        <w:t>) et la préve</w:t>
      </w:r>
      <w:r w:rsidRPr="00BC0E5F">
        <w:t>n</w:t>
      </w:r>
      <w:r w:rsidRPr="00BC0E5F">
        <w:t>tion (dépistage des cancers, prévention de conduites addictives comme le tabac et l’alcool, prévention des pathologies infectieuses aiguës</w:t>
      </w:r>
      <w:r w:rsidR="00E95A5A">
        <w:t>, etc.</w:t>
      </w:r>
      <w:r w:rsidRPr="00BC0E5F">
        <w:t>).</w:t>
      </w:r>
    </w:p>
    <w:p w14:paraId="6BEDB5DF" w14:textId="0BBC7126" w:rsidR="00BC0E5F" w:rsidRPr="00BC0E5F" w:rsidRDefault="00BC0E5F" w:rsidP="00BC0E5F">
      <w:pPr>
        <w:pStyle w:val="Corpsdetexte"/>
      </w:pPr>
      <w:r w:rsidRPr="00BC0E5F">
        <w:t xml:space="preserve">Dans un objectif de promotion d’accès aux soins à tous, les médecins peuvent recevoir d’autres contributions. Ces dernières visent à améliorer la répartition de l’offre de soins sur le territoire (contrat d’aide à l’installation des médecins </w:t>
      </w:r>
      <w:r w:rsidR="00E95A5A">
        <w:t xml:space="preserve">- </w:t>
      </w:r>
      <w:r w:rsidRPr="00BC0E5F">
        <w:t>CAIM</w:t>
      </w:r>
      <w:r w:rsidR="00E95A5A">
        <w:t xml:space="preserve"> -</w:t>
      </w:r>
      <w:r w:rsidRPr="00BC0E5F">
        <w:t xml:space="preserve">, contrat de transition pour les médecins </w:t>
      </w:r>
      <w:r w:rsidR="00E95A5A">
        <w:t xml:space="preserve">- </w:t>
      </w:r>
      <w:r w:rsidRPr="00BC0E5F">
        <w:t>COTRAM</w:t>
      </w:r>
      <w:r w:rsidR="00E95A5A">
        <w:t xml:space="preserve"> -, etc.</w:t>
      </w:r>
      <w:r w:rsidRPr="00BC0E5F">
        <w:t>) et à maitriser la pratique de dépa</w:t>
      </w:r>
      <w:r w:rsidRPr="00BC0E5F">
        <w:t>s</w:t>
      </w:r>
      <w:r w:rsidRPr="00BC0E5F">
        <w:t>sements d’honoraires (</w:t>
      </w:r>
      <w:r w:rsidR="003B5BF5">
        <w:t>options de pratique tarifaire maîtrisée -</w:t>
      </w:r>
      <w:r w:rsidR="003B5BF5" w:rsidRPr="00BC0E5F">
        <w:t xml:space="preserve"> </w:t>
      </w:r>
      <w:r w:rsidRPr="00BC0E5F">
        <w:t>OPTAM et OPTAM-CO</w:t>
      </w:r>
      <w:r w:rsidR="003B5BF5">
        <w:t xml:space="preserve"> -</w:t>
      </w:r>
      <w:r w:rsidRPr="00BC0E5F">
        <w:t>).</w:t>
      </w:r>
    </w:p>
    <w:p w14:paraId="1967246D" w14:textId="574D6923" w:rsidR="00BC0E5F" w:rsidRDefault="00BC0E5F" w:rsidP="00BC0E5F">
      <w:pPr>
        <w:pStyle w:val="Corpsdetexte"/>
      </w:pPr>
      <w:r w:rsidRPr="00BC0E5F">
        <w:t>Le tableau ci-dessous rend compte des différents types de rémunération pour les médecins dans le cadre de leur activité libérale. Elle ne comprend pas la rémunération pour l’activité salariée.</w:t>
      </w:r>
    </w:p>
    <w:p w14:paraId="24ED192E" w14:textId="77777777" w:rsidR="00BC0E5F" w:rsidRDefault="00BC0E5F" w:rsidP="00BC0E5F">
      <w:pPr>
        <w:pStyle w:val="Corpsdetexte"/>
      </w:pPr>
    </w:p>
    <w:p w14:paraId="36EBBA4D" w14:textId="77777777" w:rsidR="007A57E8" w:rsidRDefault="007A57E8" w:rsidP="00BC0E5F">
      <w:pPr>
        <w:pStyle w:val="Corpsdetexte"/>
      </w:pPr>
    </w:p>
    <w:p w14:paraId="0C56E57B" w14:textId="77777777" w:rsidR="007A57E8" w:rsidRDefault="007A57E8" w:rsidP="00BC0E5F">
      <w:pPr>
        <w:pStyle w:val="Corpsdetexte"/>
      </w:pPr>
    </w:p>
    <w:p w14:paraId="7CAE5A6D" w14:textId="77777777" w:rsidR="007A57E8" w:rsidRDefault="007A57E8" w:rsidP="00BC0E5F">
      <w:pPr>
        <w:pStyle w:val="Corpsdetexte"/>
      </w:pPr>
    </w:p>
    <w:p w14:paraId="47CFF106" w14:textId="77777777" w:rsidR="007A57E8" w:rsidRDefault="007A57E8" w:rsidP="00BC0E5F">
      <w:pPr>
        <w:pStyle w:val="Corpsdetexte"/>
      </w:pPr>
    </w:p>
    <w:p w14:paraId="0F5E3C8A" w14:textId="77777777" w:rsidR="007A57E8" w:rsidRDefault="007A57E8" w:rsidP="00BC0E5F">
      <w:pPr>
        <w:pStyle w:val="Corpsdetexte"/>
      </w:pPr>
    </w:p>
    <w:p w14:paraId="2D4526F1" w14:textId="77777777" w:rsidR="007A57E8" w:rsidRDefault="007A57E8" w:rsidP="00BC0E5F">
      <w:pPr>
        <w:pStyle w:val="Corpsdetexte"/>
      </w:pPr>
    </w:p>
    <w:p w14:paraId="50F3B6DA" w14:textId="77777777" w:rsidR="007A57E8" w:rsidRDefault="007A57E8" w:rsidP="00BC0E5F">
      <w:pPr>
        <w:pStyle w:val="Corpsdetexte"/>
      </w:pPr>
    </w:p>
    <w:p w14:paraId="30BAB817" w14:textId="77777777" w:rsidR="007A57E8" w:rsidRDefault="007A57E8" w:rsidP="00BC0E5F">
      <w:pPr>
        <w:pStyle w:val="Corpsdetexte"/>
      </w:pPr>
    </w:p>
    <w:p w14:paraId="06351D9B" w14:textId="77777777" w:rsidR="007A57E8" w:rsidRDefault="007A57E8" w:rsidP="00BC0E5F">
      <w:pPr>
        <w:pStyle w:val="Corpsdetexte"/>
      </w:pPr>
    </w:p>
    <w:p w14:paraId="3EBD6F38" w14:textId="77777777" w:rsidR="007A57E8" w:rsidRDefault="007A57E8" w:rsidP="00BC0E5F">
      <w:pPr>
        <w:pStyle w:val="Corpsdetexte"/>
      </w:pPr>
    </w:p>
    <w:p w14:paraId="04607BC2" w14:textId="77777777" w:rsidR="007A57E8" w:rsidRDefault="007A57E8" w:rsidP="00BC0E5F">
      <w:pPr>
        <w:pStyle w:val="Corpsdetexte"/>
      </w:pPr>
    </w:p>
    <w:p w14:paraId="04786EBD" w14:textId="77777777" w:rsidR="00BC0E5F" w:rsidRPr="00BC0E5F" w:rsidRDefault="00BC0E5F" w:rsidP="00BC0E5F">
      <w:pPr>
        <w:pStyle w:val="Corpsdetexte"/>
      </w:pPr>
    </w:p>
    <w:tbl>
      <w:tblPr>
        <w:tblStyle w:val="Grilledutableau"/>
        <w:tblW w:w="10314" w:type="dxa"/>
        <w:tblBorders>
          <w:top w:val="single" w:sz="4" w:space="0" w:color="1A171B"/>
          <w:left w:val="single" w:sz="4" w:space="0" w:color="1A171B"/>
          <w:bottom w:val="single" w:sz="4" w:space="0" w:color="1A171B"/>
          <w:right w:val="single" w:sz="4" w:space="0" w:color="1A171B"/>
          <w:insideH w:val="single" w:sz="4" w:space="0" w:color="1A171B"/>
          <w:insideV w:val="single" w:sz="4" w:space="0" w:color="1A171B"/>
        </w:tblBorders>
        <w:tblLayout w:type="fixed"/>
        <w:tblLook w:val="04A0" w:firstRow="1" w:lastRow="0" w:firstColumn="1" w:lastColumn="0" w:noHBand="0" w:noVBand="1"/>
      </w:tblPr>
      <w:tblGrid>
        <w:gridCol w:w="1526"/>
        <w:gridCol w:w="4377"/>
        <w:gridCol w:w="4411"/>
      </w:tblGrid>
      <w:tr w:rsidR="00BC0E5F" w:rsidRPr="001302EF" w14:paraId="10142247" w14:textId="77777777" w:rsidTr="001302EF">
        <w:trPr>
          <w:cantSplit/>
          <w:tblHead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6C31E"/>
          </w:tcPr>
          <w:p w14:paraId="1B3CF10D" w14:textId="77777777" w:rsidR="00BC0E5F" w:rsidRPr="007A57E8" w:rsidRDefault="00BC0E5F" w:rsidP="007A57E8">
            <w:pPr>
              <w:pStyle w:val="Corpsdetexte"/>
              <w:jc w:val="center"/>
              <w:rPr>
                <w:rFonts w:asciiTheme="minorHAnsi" w:hAnsiTheme="minorHAnsi"/>
                <w:b/>
                <w:color w:val="FFFFFF" w:themeColor="background1"/>
              </w:rPr>
            </w:pPr>
            <w:r w:rsidRPr="007A57E8">
              <w:rPr>
                <w:rFonts w:asciiTheme="minorHAnsi" w:hAnsiTheme="minorHAnsi"/>
                <w:b/>
                <w:color w:val="FFFFFF" w:themeColor="background1"/>
              </w:rPr>
              <w:lastRenderedPageBreak/>
              <w:t>Type de rémunér</w:t>
            </w:r>
            <w:r w:rsidRPr="007A57E8">
              <w:rPr>
                <w:rFonts w:asciiTheme="minorHAnsi" w:hAnsiTheme="minorHAnsi"/>
                <w:b/>
                <w:color w:val="FFFFFF" w:themeColor="background1"/>
              </w:rPr>
              <w:t>a</w:t>
            </w:r>
            <w:r w:rsidRPr="007A57E8">
              <w:rPr>
                <w:rFonts w:asciiTheme="minorHAnsi" w:hAnsiTheme="minorHAnsi"/>
                <w:b/>
                <w:color w:val="FFFFFF" w:themeColor="background1"/>
              </w:rPr>
              <w:t>tion</w:t>
            </w:r>
          </w:p>
        </w:tc>
        <w:tc>
          <w:tcPr>
            <w:tcW w:w="4377" w:type="dxa"/>
            <w:shd w:val="clear" w:color="auto" w:fill="96C31E"/>
          </w:tcPr>
          <w:p w14:paraId="0BF82F88" w14:textId="77777777" w:rsidR="00BC0E5F" w:rsidRPr="007A57E8" w:rsidRDefault="00BC0E5F" w:rsidP="007A57E8">
            <w:pPr>
              <w:pStyle w:val="Corpsdetext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7A57E8">
              <w:rPr>
                <w:rFonts w:asciiTheme="minorHAnsi" w:hAnsiTheme="minorHAnsi"/>
                <w:b/>
                <w:color w:val="FFFFFF" w:themeColor="background1"/>
              </w:rPr>
              <w:t>Description</w:t>
            </w:r>
          </w:p>
        </w:tc>
        <w:tc>
          <w:tcPr>
            <w:tcW w:w="4411" w:type="dxa"/>
            <w:shd w:val="clear" w:color="auto" w:fill="96C31E"/>
          </w:tcPr>
          <w:p w14:paraId="4B442389" w14:textId="77777777" w:rsidR="00BC0E5F" w:rsidRPr="007A57E8" w:rsidRDefault="00BC0E5F" w:rsidP="007A57E8">
            <w:pPr>
              <w:pStyle w:val="Corpsdetext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7A57E8">
              <w:rPr>
                <w:rFonts w:asciiTheme="minorHAnsi" w:hAnsiTheme="minorHAnsi"/>
                <w:b/>
                <w:color w:val="FFFFFF" w:themeColor="background1"/>
              </w:rPr>
              <w:t>Accès aux soins précarité / handicap</w:t>
            </w:r>
          </w:p>
        </w:tc>
      </w:tr>
      <w:tr w:rsidR="00BC0E5F" w:rsidRPr="001302EF" w14:paraId="40F74ACB" w14:textId="77777777" w:rsidTr="001302EF">
        <w:trPr>
          <w:cantSplit/>
          <w:trHeight w:val="10456"/>
          <w:tblHead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l2br w:val="none" w:sz="0" w:space="0" w:color="auto"/>
              <w:tr2bl w:val="none" w:sz="0" w:space="0" w:color="auto"/>
            </w:tcBorders>
          </w:tcPr>
          <w:p w14:paraId="6F73B9A8" w14:textId="77777777" w:rsidR="00BC0E5F" w:rsidRPr="001302EF" w:rsidRDefault="00BC0E5F" w:rsidP="00BC0E5F">
            <w:pPr>
              <w:pStyle w:val="Corpsdetexte"/>
              <w:rPr>
                <w:rFonts w:asciiTheme="minorHAnsi" w:hAnsiTheme="minorHAnsi"/>
                <w:b/>
              </w:rPr>
            </w:pPr>
            <w:r w:rsidRPr="001302EF">
              <w:rPr>
                <w:rFonts w:asciiTheme="minorHAnsi" w:hAnsiTheme="minorHAnsi"/>
                <w:b/>
              </w:rPr>
              <w:t xml:space="preserve">Tarification à l’acte : </w:t>
            </w:r>
          </w:p>
          <w:p w14:paraId="45A66741" w14:textId="77777777" w:rsidR="00BC0E5F" w:rsidRPr="001302EF" w:rsidRDefault="00BC0E5F" w:rsidP="00BC0E5F">
            <w:pPr>
              <w:pStyle w:val="Corpsdetexte"/>
              <w:rPr>
                <w:rFonts w:asciiTheme="minorHAnsi" w:hAnsiTheme="minorHAnsi"/>
              </w:rPr>
            </w:pPr>
            <w:r w:rsidRPr="001302EF">
              <w:rPr>
                <w:rFonts w:asciiTheme="minorHAnsi" w:hAnsiTheme="minorHAnsi"/>
              </w:rPr>
              <w:t>Tarifs opp</w:t>
            </w:r>
            <w:r w:rsidRPr="001302EF">
              <w:rPr>
                <w:rFonts w:asciiTheme="minorHAnsi" w:hAnsiTheme="minorHAnsi"/>
              </w:rPr>
              <w:t>o</w:t>
            </w:r>
            <w:r w:rsidRPr="001302EF">
              <w:rPr>
                <w:rFonts w:asciiTheme="minorHAnsi" w:hAnsiTheme="minorHAnsi"/>
              </w:rPr>
              <w:t xml:space="preserve">sables </w:t>
            </w:r>
          </w:p>
          <w:p w14:paraId="1BD400F5" w14:textId="77777777" w:rsidR="001302EF" w:rsidRDefault="00BC0E5F" w:rsidP="00BC0E5F">
            <w:pPr>
              <w:pStyle w:val="Corpsdetexte"/>
              <w:rPr>
                <w:rFonts w:asciiTheme="minorHAnsi" w:hAnsiTheme="minorHAnsi"/>
              </w:rPr>
            </w:pPr>
            <w:r w:rsidRPr="001302EF">
              <w:rPr>
                <w:rFonts w:asciiTheme="minorHAnsi" w:hAnsiTheme="minorHAnsi"/>
              </w:rPr>
              <w:t xml:space="preserve">+ </w:t>
            </w:r>
          </w:p>
          <w:p w14:paraId="2F357066" w14:textId="77777777" w:rsidR="00BC0E5F" w:rsidRPr="001302EF" w:rsidRDefault="00BC0E5F" w:rsidP="00BC0E5F">
            <w:pPr>
              <w:pStyle w:val="Corpsdetexte"/>
              <w:rPr>
                <w:rFonts w:asciiTheme="minorHAnsi" w:hAnsiTheme="minorHAnsi"/>
              </w:rPr>
            </w:pPr>
            <w:r w:rsidRPr="001302EF">
              <w:rPr>
                <w:rFonts w:asciiTheme="minorHAnsi" w:hAnsiTheme="minorHAnsi"/>
              </w:rPr>
              <w:t>Dépass</w:t>
            </w:r>
            <w:r w:rsidRPr="001302EF">
              <w:rPr>
                <w:rFonts w:asciiTheme="minorHAnsi" w:hAnsiTheme="minorHAnsi"/>
              </w:rPr>
              <w:t>e</w:t>
            </w:r>
            <w:r w:rsidRPr="001302EF">
              <w:rPr>
                <w:rFonts w:asciiTheme="minorHAnsi" w:hAnsiTheme="minorHAnsi"/>
              </w:rPr>
              <w:t xml:space="preserve">ments </w:t>
            </w:r>
          </w:p>
          <w:p w14:paraId="3025D824" w14:textId="77777777" w:rsidR="001302EF" w:rsidRDefault="00BC0E5F" w:rsidP="00BC0E5F">
            <w:pPr>
              <w:pStyle w:val="Corpsdetexte"/>
              <w:rPr>
                <w:rFonts w:asciiTheme="minorHAnsi" w:hAnsiTheme="minorHAnsi"/>
              </w:rPr>
            </w:pPr>
            <w:r w:rsidRPr="001302EF">
              <w:rPr>
                <w:rFonts w:asciiTheme="minorHAnsi" w:hAnsiTheme="minorHAnsi"/>
              </w:rPr>
              <w:t xml:space="preserve">+ </w:t>
            </w:r>
          </w:p>
          <w:p w14:paraId="36E1A3D0" w14:textId="77777777" w:rsidR="00BC0E5F" w:rsidRPr="001302EF" w:rsidRDefault="00BC0E5F" w:rsidP="00BC0E5F">
            <w:pPr>
              <w:pStyle w:val="Corpsdetexte"/>
              <w:rPr>
                <w:rFonts w:asciiTheme="minorHAnsi" w:hAnsiTheme="minorHAnsi"/>
              </w:rPr>
            </w:pPr>
            <w:r w:rsidRPr="001302EF">
              <w:rPr>
                <w:rFonts w:asciiTheme="minorHAnsi" w:hAnsiTheme="minorHAnsi"/>
              </w:rPr>
              <w:t>Majorations</w:t>
            </w:r>
          </w:p>
          <w:p w14:paraId="09562806" w14:textId="77777777" w:rsidR="00BC0E5F" w:rsidRPr="001302EF" w:rsidRDefault="00BC0E5F" w:rsidP="00BC0E5F">
            <w:pPr>
              <w:pStyle w:val="Corpsdetexte"/>
              <w:rPr>
                <w:rFonts w:asciiTheme="minorHAnsi" w:hAnsiTheme="minorHAnsi"/>
              </w:rPr>
            </w:pPr>
          </w:p>
        </w:tc>
        <w:tc>
          <w:tcPr>
            <w:tcW w:w="4377" w:type="dxa"/>
          </w:tcPr>
          <w:p w14:paraId="494A3044" w14:textId="0AF27E46"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Le tarif opposable correspond au « tarif off</w:t>
            </w:r>
            <w:r w:rsidRPr="001302EF">
              <w:rPr>
                <w:rFonts w:asciiTheme="minorHAnsi" w:hAnsiTheme="minorHAnsi"/>
              </w:rPr>
              <w:t>i</w:t>
            </w:r>
            <w:r w:rsidRPr="001302EF">
              <w:rPr>
                <w:rFonts w:asciiTheme="minorHAnsi" w:hAnsiTheme="minorHAnsi"/>
              </w:rPr>
              <w:t>ciel</w:t>
            </w:r>
            <w:r w:rsidR="003B5BF5">
              <w:rPr>
                <w:rFonts w:asciiTheme="minorHAnsi" w:hAnsiTheme="minorHAnsi"/>
              </w:rPr>
              <w:t> »</w:t>
            </w:r>
            <w:r w:rsidRPr="001302EF">
              <w:rPr>
                <w:rFonts w:asciiTheme="minorHAnsi" w:hAnsiTheme="minorHAnsi"/>
              </w:rPr>
              <w:t xml:space="preserve"> ou tarif conventionnel. Il est fixé dans le cadre d'une convention signée entre le profe</w:t>
            </w:r>
            <w:r w:rsidRPr="001302EF">
              <w:rPr>
                <w:rFonts w:asciiTheme="minorHAnsi" w:hAnsiTheme="minorHAnsi"/>
              </w:rPr>
              <w:t>s</w:t>
            </w:r>
            <w:r w:rsidRPr="001302EF">
              <w:rPr>
                <w:rFonts w:asciiTheme="minorHAnsi" w:hAnsiTheme="minorHAnsi"/>
              </w:rPr>
              <w:t>sionnel de santé et l'</w:t>
            </w:r>
            <w:r w:rsidR="003B5BF5">
              <w:rPr>
                <w:rFonts w:asciiTheme="minorHAnsi" w:hAnsiTheme="minorHAnsi"/>
              </w:rPr>
              <w:t>a</w:t>
            </w:r>
            <w:r w:rsidRPr="001302EF">
              <w:rPr>
                <w:rFonts w:asciiTheme="minorHAnsi" w:hAnsiTheme="minorHAnsi"/>
              </w:rPr>
              <w:t xml:space="preserve">ssurance </w:t>
            </w:r>
            <w:r w:rsidR="003B5BF5">
              <w:rPr>
                <w:rFonts w:asciiTheme="minorHAnsi" w:hAnsiTheme="minorHAnsi"/>
              </w:rPr>
              <w:t>m</w:t>
            </w:r>
            <w:r w:rsidRPr="001302EF">
              <w:rPr>
                <w:rFonts w:asciiTheme="minorHAnsi" w:hAnsiTheme="minorHAnsi"/>
              </w:rPr>
              <w:t>aladie. </w:t>
            </w:r>
          </w:p>
          <w:p w14:paraId="3E2A827C"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Néanmoins, certains médecins peuvent prat</w:t>
            </w:r>
            <w:r w:rsidRPr="001302EF">
              <w:rPr>
                <w:rFonts w:asciiTheme="minorHAnsi" w:hAnsiTheme="minorHAnsi"/>
              </w:rPr>
              <w:t>i</w:t>
            </w:r>
            <w:r w:rsidRPr="001302EF">
              <w:rPr>
                <w:rFonts w:asciiTheme="minorHAnsi" w:hAnsiTheme="minorHAnsi"/>
              </w:rPr>
              <w:t>quer des dépassements, c’est-à-dire facturer leurs actes au-delà du tarif opposable. Cette possibilité s’offre aux médecins du secteur 2 ayant droit au dépassement permanent et dans quelques cas particuliers aux médecins du se</w:t>
            </w:r>
            <w:r w:rsidRPr="001302EF">
              <w:rPr>
                <w:rFonts w:asciiTheme="minorHAnsi" w:hAnsiTheme="minorHAnsi"/>
              </w:rPr>
              <w:t>c</w:t>
            </w:r>
            <w:r w:rsidRPr="001302EF">
              <w:rPr>
                <w:rFonts w:asciiTheme="minorHAnsi" w:hAnsiTheme="minorHAnsi"/>
              </w:rPr>
              <w:t>teur 1 (exigence particulière du malade, non-respect du parcours de soins coordonnés).</w:t>
            </w:r>
          </w:p>
          <w:p w14:paraId="7FDCAA75" w14:textId="6EC66A7B"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 xml:space="preserve">La convention médicale </w:t>
            </w:r>
            <w:r w:rsidR="003B5BF5">
              <w:rPr>
                <w:rFonts w:asciiTheme="minorHAnsi" w:hAnsiTheme="minorHAnsi"/>
              </w:rPr>
              <w:t xml:space="preserve">de </w:t>
            </w:r>
            <w:r w:rsidRPr="001302EF">
              <w:rPr>
                <w:rFonts w:asciiTheme="minorHAnsi" w:hAnsiTheme="minorHAnsi"/>
              </w:rPr>
              <w:t>2016 regroupe d</w:t>
            </w:r>
            <w:r w:rsidRPr="001302EF">
              <w:rPr>
                <w:rFonts w:asciiTheme="minorHAnsi" w:hAnsiTheme="minorHAnsi"/>
              </w:rPr>
              <w:t>é</w:t>
            </w:r>
            <w:r w:rsidRPr="001302EF">
              <w:rPr>
                <w:rFonts w:asciiTheme="minorHAnsi" w:hAnsiTheme="minorHAnsi"/>
              </w:rPr>
              <w:t>sormais les consultations en quatre grands groupes. Certaines sont nouvelles ou font l’objet d’une revalorisation. </w:t>
            </w:r>
          </w:p>
          <w:p w14:paraId="4F843B6C"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1. Consultations de référence : La majoration pour les médecins généralistes (MMG) et m</w:t>
            </w:r>
            <w:r w:rsidRPr="001302EF">
              <w:rPr>
                <w:rFonts w:asciiTheme="minorHAnsi" w:hAnsiTheme="minorHAnsi"/>
              </w:rPr>
              <w:t>é</w:t>
            </w:r>
            <w:r w:rsidRPr="001302EF">
              <w:rPr>
                <w:rFonts w:asciiTheme="minorHAnsi" w:hAnsiTheme="minorHAnsi"/>
              </w:rPr>
              <w:t>decins à expertise particulière (MEP) passe de 23 euros à 25 euros le 1</w:t>
            </w:r>
            <w:r w:rsidRPr="001302EF">
              <w:rPr>
                <w:rFonts w:asciiTheme="minorHAnsi" w:hAnsiTheme="minorHAnsi"/>
                <w:vertAlign w:val="superscript"/>
              </w:rPr>
              <w:t>er</w:t>
            </w:r>
            <w:r w:rsidRPr="001302EF">
              <w:rPr>
                <w:rFonts w:asciiTheme="minorHAnsi" w:hAnsiTheme="minorHAnsi"/>
              </w:rPr>
              <w:t xml:space="preserve"> mai 2017.</w:t>
            </w:r>
          </w:p>
          <w:p w14:paraId="1EE86DE3"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2. Consultations coordonnées : Les majorations de coordination entre médecin traitant et m</w:t>
            </w:r>
            <w:r w:rsidRPr="001302EF">
              <w:rPr>
                <w:rFonts w:asciiTheme="minorHAnsi" w:hAnsiTheme="minorHAnsi"/>
              </w:rPr>
              <w:t>é</w:t>
            </w:r>
            <w:r w:rsidRPr="001302EF">
              <w:rPr>
                <w:rFonts w:asciiTheme="minorHAnsi" w:hAnsiTheme="minorHAnsi"/>
              </w:rPr>
              <w:t>decin  correspondant (MCS et MCG)  passent de 3 à 5 euros le 1</w:t>
            </w:r>
            <w:r w:rsidRPr="001302EF">
              <w:rPr>
                <w:rFonts w:asciiTheme="minorHAnsi" w:hAnsiTheme="minorHAnsi"/>
                <w:vertAlign w:val="superscript"/>
              </w:rPr>
              <w:t>er</w:t>
            </w:r>
            <w:r w:rsidRPr="001302EF">
              <w:rPr>
                <w:rFonts w:asciiTheme="minorHAnsi" w:hAnsiTheme="minorHAnsi"/>
              </w:rPr>
              <w:t xml:space="preserve"> juillet 2017.  Elles correspo</w:t>
            </w:r>
            <w:r w:rsidRPr="001302EF">
              <w:rPr>
                <w:rFonts w:asciiTheme="minorHAnsi" w:hAnsiTheme="minorHAnsi"/>
              </w:rPr>
              <w:t>n</w:t>
            </w:r>
            <w:r w:rsidRPr="001302EF">
              <w:rPr>
                <w:rFonts w:asciiTheme="minorHAnsi" w:hAnsiTheme="minorHAnsi"/>
              </w:rPr>
              <w:t>dent à des consultations où le médecin correspondant et le médecin traitant se co</w:t>
            </w:r>
            <w:r w:rsidRPr="001302EF">
              <w:rPr>
                <w:rFonts w:asciiTheme="minorHAnsi" w:hAnsiTheme="minorHAnsi"/>
              </w:rPr>
              <w:t>m</w:t>
            </w:r>
            <w:r w:rsidRPr="001302EF">
              <w:rPr>
                <w:rFonts w:asciiTheme="minorHAnsi" w:hAnsiTheme="minorHAnsi"/>
              </w:rPr>
              <w:t>muniquent des informations</w:t>
            </w:r>
          </w:p>
          <w:p w14:paraId="55CC5429" w14:textId="042FBF14" w:rsidR="00BC0E5F" w:rsidRPr="001302EF" w:rsidRDefault="00BC0E5F" w:rsidP="00E95A5A">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3. Consultations complexes : Ces consultations correspondent à la prise en charge, dans le cadre de parcours de soins, de patients prése</w:t>
            </w:r>
            <w:r w:rsidRPr="001302EF">
              <w:rPr>
                <w:rFonts w:asciiTheme="minorHAnsi" w:hAnsiTheme="minorHAnsi"/>
              </w:rPr>
              <w:t>n</w:t>
            </w:r>
            <w:r w:rsidRPr="001302EF">
              <w:rPr>
                <w:rFonts w:asciiTheme="minorHAnsi" w:hAnsiTheme="minorHAnsi"/>
              </w:rPr>
              <w:t>tant une pathologie complexe ou instable ou à des situations cliniques comprenant un fort enjeu de santé publique (dépistage, prévention</w:t>
            </w:r>
            <w:r w:rsidR="00E95A5A">
              <w:rPr>
                <w:rFonts w:asciiTheme="minorHAnsi" w:hAnsiTheme="minorHAnsi"/>
              </w:rPr>
              <w:t>, etc.</w:t>
            </w:r>
            <w:r w:rsidRPr="001302EF">
              <w:rPr>
                <w:rFonts w:asciiTheme="minorHAnsi" w:hAnsiTheme="minorHAnsi"/>
              </w:rPr>
              <w:t>). Elles sont tarifées à 46 euros ou font l’objet d’une majoration de 16 euros à partir du 1</w:t>
            </w:r>
            <w:r w:rsidRPr="001302EF">
              <w:rPr>
                <w:rFonts w:asciiTheme="minorHAnsi" w:hAnsiTheme="minorHAnsi"/>
                <w:vertAlign w:val="superscript"/>
              </w:rPr>
              <w:t>er</w:t>
            </w:r>
            <w:r w:rsidRPr="001302EF">
              <w:rPr>
                <w:rFonts w:asciiTheme="minorHAnsi" w:hAnsiTheme="minorHAnsi"/>
              </w:rPr>
              <w:t xml:space="preserve"> novembre 2017 pour les généralistes ou les spécialistes compétents. Elles comprennent par exemple : les consultations de contraception et prévention pour les jeunes filles de 15 à 18 ans, les consultations suivi de l’obésité des enfants de 3 à 12 ans, les consultations de sortie de maternité, les consultations spécifiques pour une pathologie endocrinienne de la grossesse, les consultations spécifiques pour un patient atteint de sclérose en plaques, de maladie de Parkinson ou d’épilepsie instable</w:t>
            </w:r>
            <w:r w:rsidR="00E95A5A">
              <w:rPr>
                <w:rFonts w:asciiTheme="minorHAnsi" w:hAnsiTheme="minorHAnsi"/>
              </w:rPr>
              <w:t>, etc.</w:t>
            </w:r>
          </w:p>
        </w:tc>
        <w:tc>
          <w:tcPr>
            <w:tcW w:w="4411" w:type="dxa"/>
          </w:tcPr>
          <w:p w14:paraId="1AC599AA" w14:textId="6A7BEF0C"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Obligation de pratiquer des tarifs opposables, pour les patients disposant de l’attestation de droit à l’</w:t>
            </w:r>
            <w:r w:rsidRPr="001302EF">
              <w:rPr>
                <w:rFonts w:asciiTheme="minorHAnsi" w:hAnsiTheme="minorHAnsi"/>
                <w:b/>
              </w:rPr>
              <w:t>ACS</w:t>
            </w:r>
            <w:r w:rsidRPr="001302EF">
              <w:rPr>
                <w:rFonts w:asciiTheme="minorHAnsi" w:hAnsiTheme="minorHAnsi"/>
              </w:rPr>
              <w:t xml:space="preserve"> et de la </w:t>
            </w:r>
            <w:r w:rsidRPr="001302EF">
              <w:rPr>
                <w:rFonts w:asciiTheme="minorHAnsi" w:hAnsiTheme="minorHAnsi"/>
                <w:b/>
              </w:rPr>
              <w:t>CMU</w:t>
            </w:r>
            <w:r w:rsidR="003B5BF5">
              <w:rPr>
                <w:rFonts w:asciiTheme="minorHAnsi" w:hAnsiTheme="minorHAnsi"/>
                <w:b/>
              </w:rPr>
              <w:t>-</w:t>
            </w:r>
            <w:r w:rsidRPr="001302EF">
              <w:rPr>
                <w:rFonts w:asciiTheme="minorHAnsi" w:hAnsiTheme="minorHAnsi"/>
                <w:b/>
              </w:rPr>
              <w:t>C</w:t>
            </w:r>
            <w:r w:rsidRPr="001302EF">
              <w:rPr>
                <w:rFonts w:asciiTheme="minorHAnsi" w:hAnsiTheme="minorHAnsi"/>
              </w:rPr>
              <w:t>.</w:t>
            </w:r>
          </w:p>
          <w:p w14:paraId="29A4D066"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2DB9107" w14:textId="2F8E99B8"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 xml:space="preserve">Pour l’ensemble de son activité, le praticien </w:t>
            </w:r>
            <w:r w:rsidR="00D651E0">
              <w:rPr>
                <w:rFonts w:asciiTheme="minorHAnsi" w:hAnsiTheme="minorHAnsi"/>
              </w:rPr>
              <w:t xml:space="preserve">de secteur 1 </w:t>
            </w:r>
            <w:r w:rsidRPr="001302EF">
              <w:rPr>
                <w:rFonts w:asciiTheme="minorHAnsi" w:hAnsiTheme="minorHAnsi"/>
              </w:rPr>
              <w:t>s’engage à respecter pour les actes cliniques et techniques, un ratio honoraire sans dépassements sur honoraires totaux égal ou supérieur à 70%.</w:t>
            </w:r>
          </w:p>
          <w:p w14:paraId="2C578752"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4EF1D19"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Pour les assurés dont les revenus sont les plus modestes ou pour ceux qui sont confrontés, du fait de leur état de santé, à des dépenses de soins importantes, des dispositions, soit légales, soit conventionnelles, ont posé les conditions dans lesquelles ils peuvent bénéficier d’une dispense d’avance de leurs frais de santé dit tiers payant. Ainsi les bénéficiaires de la CMUC et de l’ACS disposent du tiers payant.</w:t>
            </w:r>
          </w:p>
          <w:p w14:paraId="543C066C"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1DCF3BDF" w14:textId="0CABF313"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La Majoration pour les médecins généralistes (MMG) est également applicable par les méd</w:t>
            </w:r>
            <w:r w:rsidRPr="001302EF">
              <w:rPr>
                <w:rFonts w:asciiTheme="minorHAnsi" w:hAnsiTheme="minorHAnsi"/>
              </w:rPr>
              <w:t>e</w:t>
            </w:r>
            <w:r w:rsidRPr="001302EF">
              <w:rPr>
                <w:rFonts w:asciiTheme="minorHAnsi" w:hAnsiTheme="minorHAnsi"/>
              </w:rPr>
              <w:t>cins généralistes et les médecins à expertise particulière exerçant dans le secteur à hon</w:t>
            </w:r>
            <w:r w:rsidRPr="001302EF">
              <w:rPr>
                <w:rFonts w:asciiTheme="minorHAnsi" w:hAnsiTheme="minorHAnsi"/>
              </w:rPr>
              <w:t>o</w:t>
            </w:r>
            <w:r w:rsidRPr="001302EF">
              <w:rPr>
                <w:rFonts w:asciiTheme="minorHAnsi" w:hAnsiTheme="minorHAnsi"/>
              </w:rPr>
              <w:t xml:space="preserve">raires différents ou titulaires du droit à dépassement permanent lorsqu’ils pratiquent les tarifs opposables pour </w:t>
            </w:r>
            <w:r w:rsidRPr="001302EF">
              <w:rPr>
                <w:rFonts w:asciiTheme="minorHAnsi" w:hAnsiTheme="minorHAnsi"/>
                <w:b/>
              </w:rPr>
              <w:t>les patients bénéf</w:t>
            </w:r>
            <w:r w:rsidRPr="001302EF">
              <w:rPr>
                <w:rFonts w:asciiTheme="minorHAnsi" w:hAnsiTheme="minorHAnsi"/>
                <w:b/>
              </w:rPr>
              <w:t>i</w:t>
            </w:r>
            <w:r w:rsidRPr="001302EF">
              <w:rPr>
                <w:rFonts w:asciiTheme="minorHAnsi" w:hAnsiTheme="minorHAnsi"/>
                <w:b/>
              </w:rPr>
              <w:t>ciaires de la CMU</w:t>
            </w:r>
            <w:r w:rsidR="00D651E0">
              <w:rPr>
                <w:rFonts w:asciiTheme="minorHAnsi" w:hAnsiTheme="minorHAnsi"/>
                <w:b/>
              </w:rPr>
              <w:t>-C</w:t>
            </w:r>
            <w:r w:rsidRPr="001302EF">
              <w:rPr>
                <w:rFonts w:asciiTheme="minorHAnsi" w:hAnsiTheme="minorHAnsi"/>
                <w:b/>
              </w:rPr>
              <w:t xml:space="preserve"> et pour les patients disposant d’une attestation de droit à l’ACS</w:t>
            </w:r>
            <w:r w:rsidRPr="001302EF">
              <w:rPr>
                <w:rFonts w:asciiTheme="minorHAnsi" w:hAnsiTheme="minorHAnsi"/>
              </w:rPr>
              <w:t>.</w:t>
            </w:r>
          </w:p>
          <w:p w14:paraId="32389D4C"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BC0E5F" w:rsidRPr="001302EF" w14:paraId="444B3374" w14:textId="77777777" w:rsidTr="001302EF">
        <w:trPr>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l2br w:val="none" w:sz="0" w:space="0" w:color="auto"/>
              <w:tr2bl w:val="none" w:sz="0" w:space="0" w:color="auto"/>
            </w:tcBorders>
          </w:tcPr>
          <w:p w14:paraId="69FD33F2" w14:textId="77777777" w:rsidR="00BC0E5F" w:rsidRPr="001302EF" w:rsidRDefault="00BC0E5F" w:rsidP="00BC0E5F">
            <w:pPr>
              <w:pStyle w:val="Corpsdetexte"/>
              <w:rPr>
                <w:rFonts w:asciiTheme="minorHAnsi" w:hAnsiTheme="minorHAnsi"/>
                <w:b/>
              </w:rPr>
            </w:pPr>
          </w:p>
        </w:tc>
        <w:tc>
          <w:tcPr>
            <w:tcW w:w="4377" w:type="dxa"/>
          </w:tcPr>
          <w:p w14:paraId="31BEC1D4" w14:textId="3B98E1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4. Consultations très complexes : Elles sont tarifées à 60 euros ou font l’objet d’une major</w:t>
            </w:r>
            <w:r w:rsidRPr="001302EF">
              <w:rPr>
                <w:rFonts w:asciiTheme="minorHAnsi" w:hAnsiTheme="minorHAnsi"/>
              </w:rPr>
              <w:t>a</w:t>
            </w:r>
            <w:r w:rsidRPr="001302EF">
              <w:rPr>
                <w:rFonts w:asciiTheme="minorHAnsi" w:hAnsiTheme="minorHAnsi"/>
              </w:rPr>
              <w:t>tion de 30 euros à partir du 1</w:t>
            </w:r>
            <w:r w:rsidRPr="001302EF">
              <w:rPr>
                <w:rFonts w:asciiTheme="minorHAnsi" w:hAnsiTheme="minorHAnsi"/>
                <w:vertAlign w:val="superscript"/>
              </w:rPr>
              <w:t>er</w:t>
            </w:r>
            <w:r w:rsidRPr="001302EF">
              <w:rPr>
                <w:rFonts w:asciiTheme="minorHAnsi" w:hAnsiTheme="minorHAnsi"/>
              </w:rPr>
              <w:t xml:space="preserve"> novembre 2017 pour les généralistes ou les spécialistes comp</w:t>
            </w:r>
            <w:r w:rsidRPr="001302EF">
              <w:rPr>
                <w:rFonts w:asciiTheme="minorHAnsi" w:hAnsiTheme="minorHAnsi"/>
              </w:rPr>
              <w:t>é</w:t>
            </w:r>
            <w:r w:rsidRPr="001302EF">
              <w:rPr>
                <w:rFonts w:asciiTheme="minorHAnsi" w:hAnsiTheme="minorHAnsi"/>
              </w:rPr>
              <w:t>tents. Elles comprennent par exemple : les consultations de synthèse d’un patient en insu</w:t>
            </w:r>
            <w:r w:rsidRPr="001302EF">
              <w:rPr>
                <w:rFonts w:asciiTheme="minorHAnsi" w:hAnsiTheme="minorHAnsi"/>
              </w:rPr>
              <w:t>f</w:t>
            </w:r>
            <w:r w:rsidRPr="001302EF">
              <w:rPr>
                <w:rFonts w:asciiTheme="minorHAnsi" w:hAnsiTheme="minorHAnsi"/>
              </w:rPr>
              <w:t>fisance rénale chronique terminale dans le cadre de la mise en route d’un dossier de greffe rénale, les consultations de visite longue pour des patients atteints de pathologie neurodég</w:t>
            </w:r>
            <w:r w:rsidRPr="001302EF">
              <w:rPr>
                <w:rFonts w:asciiTheme="minorHAnsi" w:hAnsiTheme="minorHAnsi"/>
              </w:rPr>
              <w:t>é</w:t>
            </w:r>
            <w:r w:rsidRPr="001302EF">
              <w:rPr>
                <w:rFonts w:asciiTheme="minorHAnsi" w:hAnsiTheme="minorHAnsi"/>
              </w:rPr>
              <w:t>nérative, les consultations de suivi par un pédiatre conventionné de l’enfant présentant une pathologie chronique grave ou un handicap neurosensoriel sévère nécessitant un suivi rég</w:t>
            </w:r>
            <w:r w:rsidRPr="001302EF">
              <w:rPr>
                <w:rFonts w:asciiTheme="minorHAnsi" w:hAnsiTheme="minorHAnsi"/>
              </w:rPr>
              <w:t>u</w:t>
            </w:r>
            <w:r w:rsidRPr="001302EF">
              <w:rPr>
                <w:rFonts w:asciiTheme="minorHAnsi" w:hAnsiTheme="minorHAnsi"/>
              </w:rPr>
              <w:t>lier</w:t>
            </w:r>
            <w:r w:rsidR="00E95A5A">
              <w:rPr>
                <w:rFonts w:asciiTheme="minorHAnsi" w:hAnsiTheme="minorHAnsi"/>
              </w:rPr>
              <w:t>, etc.</w:t>
            </w:r>
          </w:p>
          <w:p w14:paraId="7E1E9F9A"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Suite à la convention 2016, d’autres cas partic</w:t>
            </w:r>
            <w:r w:rsidRPr="001302EF">
              <w:rPr>
                <w:rFonts w:asciiTheme="minorHAnsi" w:hAnsiTheme="minorHAnsi"/>
              </w:rPr>
              <w:t>u</w:t>
            </w:r>
            <w:r w:rsidRPr="001302EF">
              <w:rPr>
                <w:rFonts w:asciiTheme="minorHAnsi" w:hAnsiTheme="minorHAnsi"/>
              </w:rPr>
              <w:t xml:space="preserve">liers sont revalorisés : </w:t>
            </w:r>
          </w:p>
          <w:p w14:paraId="77DDE2FC" w14:textId="77777777" w:rsidR="00BC0E5F" w:rsidRPr="001302EF" w:rsidRDefault="00BC0E5F" w:rsidP="001302EF">
            <w:pPr>
              <w:pStyle w:val="Listecontinue"/>
              <w:cnfStyle w:val="000000000000" w:firstRow="0" w:lastRow="0" w:firstColumn="0" w:lastColumn="0" w:oddVBand="0" w:evenVBand="0" w:oddHBand="0" w:evenHBand="0" w:firstRowFirstColumn="0" w:firstRowLastColumn="0" w:lastRowFirstColumn="0" w:lastRowLastColumn="0"/>
            </w:pPr>
            <w:r w:rsidRPr="001302EF">
              <w:t>Majoration urgence du médecin traitant (MUT) et majoration correspondant urgence (MCU) : prise en charge du médecin corre</w:t>
            </w:r>
            <w:r w:rsidRPr="001302EF">
              <w:t>s</w:t>
            </w:r>
            <w:r w:rsidRPr="001302EF">
              <w:t xml:space="preserve">pondant suite à une demande du médecin traitant dans les 48 heures </w:t>
            </w:r>
          </w:p>
          <w:p w14:paraId="1659CA1F" w14:textId="77777777" w:rsidR="00BC0E5F" w:rsidRPr="001302EF" w:rsidRDefault="00BC0E5F" w:rsidP="001302EF">
            <w:pPr>
              <w:pStyle w:val="Listecontinue"/>
              <w:cnfStyle w:val="000000000000" w:firstRow="0" w:lastRow="0" w:firstColumn="0" w:lastColumn="0" w:oddVBand="0" w:evenVBand="0" w:oddHBand="0" w:evenHBand="0" w:firstRowFirstColumn="0" w:firstRowLastColumn="0" w:lastRowFirstColumn="0" w:lastRowLastColumn="0"/>
            </w:pPr>
            <w:r w:rsidRPr="001302EF">
              <w:t>Majoration Enfant pour les médecins Gén</w:t>
            </w:r>
            <w:r w:rsidRPr="001302EF">
              <w:t>é</w:t>
            </w:r>
            <w:r w:rsidRPr="001302EF">
              <w:t>ralistes (MEG) et les pédiatres</w:t>
            </w:r>
          </w:p>
          <w:p w14:paraId="0DABC262" w14:textId="77777777" w:rsidR="00BC0E5F" w:rsidRPr="001302EF" w:rsidRDefault="00BC0E5F" w:rsidP="001302EF">
            <w:pPr>
              <w:pStyle w:val="Listecontinue"/>
              <w:cnfStyle w:val="000000000000" w:firstRow="0" w:lastRow="0" w:firstColumn="0" w:lastColumn="0" w:oddVBand="0" w:evenVBand="0" w:oddHBand="0" w:evenHBand="0" w:firstRowFirstColumn="0" w:firstRowLastColumn="0" w:lastRowFirstColumn="0" w:lastRowLastColumn="0"/>
            </w:pPr>
            <w:r w:rsidRPr="001302EF">
              <w:t>Majoration pour le suivi des personnes âgées (MPA). Cette majoration bénéficie aux médecins pour les patients dont ils ne sont pas le médecin traitant</w:t>
            </w:r>
          </w:p>
          <w:p w14:paraId="114CE925" w14:textId="77777777" w:rsidR="00BC0E5F" w:rsidRPr="001302EF" w:rsidRDefault="00BC0E5F" w:rsidP="001302EF">
            <w:pPr>
              <w:pStyle w:val="Listecontinue"/>
              <w:cnfStyle w:val="000000000000" w:firstRow="0" w:lastRow="0" w:firstColumn="0" w:lastColumn="0" w:oddVBand="0" w:evenVBand="0" w:oddHBand="0" w:evenHBand="0" w:firstRowFirstColumn="0" w:firstRowLastColumn="0" w:lastRowFirstColumn="0" w:lastRowLastColumn="0"/>
            </w:pPr>
            <w:r w:rsidRPr="001302EF">
              <w:t>Majorations spécifiques pour les soins a</w:t>
            </w:r>
            <w:r w:rsidRPr="001302EF">
              <w:t>m</w:t>
            </w:r>
            <w:r w:rsidRPr="001302EF">
              <w:t>bulatoires pour le médecin qui intervient à la demande du médecin chargé de la régul</w:t>
            </w:r>
            <w:r w:rsidRPr="001302EF">
              <w:t>a</w:t>
            </w:r>
            <w:r w:rsidRPr="001302EF">
              <w:t>tion ou du centre d’appels de l’association de permanence des soins.</w:t>
            </w:r>
          </w:p>
          <w:p w14:paraId="4E98E51E"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Pour promouvoir la télémédecine, certains actes de téléconsultation ou de télé expertise  sont désormais tarifés, comme par exemple une télé expertise entre deux médecins généralistes pour un patient admis en EHPAD.</w:t>
            </w:r>
          </w:p>
          <w:p w14:paraId="5A9A7DF9"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Enfin, dans la convention 2016 les actes tec</w:t>
            </w:r>
            <w:r w:rsidRPr="001302EF">
              <w:rPr>
                <w:rFonts w:asciiTheme="minorHAnsi" w:hAnsiTheme="minorHAnsi"/>
              </w:rPr>
              <w:t>h</w:t>
            </w:r>
            <w:r w:rsidRPr="001302EF">
              <w:rPr>
                <w:rFonts w:asciiTheme="minorHAnsi" w:hAnsiTheme="minorHAnsi"/>
              </w:rPr>
              <w:t>niques sont revalorisés.</w:t>
            </w:r>
          </w:p>
        </w:tc>
        <w:tc>
          <w:tcPr>
            <w:tcW w:w="4411" w:type="dxa"/>
          </w:tcPr>
          <w:p w14:paraId="73DF9DA2"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 xml:space="preserve">Parmi les consultations très complexe figure la consultation de suivi de l’enfant présentant une pathologie chronique grave ou un </w:t>
            </w:r>
            <w:r w:rsidRPr="001302EF">
              <w:rPr>
                <w:rFonts w:asciiTheme="minorHAnsi" w:hAnsiTheme="minorHAnsi"/>
                <w:b/>
              </w:rPr>
              <w:t xml:space="preserve">handicap neuro-sensoriel sévère </w:t>
            </w:r>
            <w:r w:rsidRPr="001302EF">
              <w:rPr>
                <w:rFonts w:asciiTheme="minorHAnsi" w:hAnsiTheme="minorHAnsi"/>
              </w:rPr>
              <w:t>nécessitant un suivi régulier réalisée par un pédiatre à tarif opp</w:t>
            </w:r>
            <w:r w:rsidRPr="001302EF">
              <w:rPr>
                <w:rFonts w:asciiTheme="minorHAnsi" w:hAnsiTheme="minorHAnsi"/>
              </w:rPr>
              <w:t>o</w:t>
            </w:r>
            <w:r w:rsidRPr="001302EF">
              <w:rPr>
                <w:rFonts w:asciiTheme="minorHAnsi" w:hAnsiTheme="minorHAnsi"/>
              </w:rPr>
              <w:t xml:space="preserve">sable valorisée à hauteur de 60 Euros, dénommée EPH (Enfant Pathologie handicap). Elle peut être facturée une fois par trimestre et au tarif opposable. </w:t>
            </w:r>
          </w:p>
          <w:p w14:paraId="64AF4A6F"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1302EF">
              <w:rPr>
                <w:rFonts w:asciiTheme="minorHAnsi" w:hAnsiTheme="minorHAnsi"/>
                <w:i/>
              </w:rPr>
              <w:t>« Par ailleurs, les partenaires conventionnels estiment que l’amélioration de l’accès aux soins des personnes atteintes d’un handicap mental sévère doit constituer une priorité. Ils s’accordent donc pour identifier les moyens à mettre en place pour mieux identifier ces p</w:t>
            </w:r>
            <w:r w:rsidRPr="001302EF">
              <w:rPr>
                <w:rFonts w:asciiTheme="minorHAnsi" w:hAnsiTheme="minorHAnsi"/>
                <w:i/>
              </w:rPr>
              <w:t>a</w:t>
            </w:r>
            <w:r w:rsidRPr="001302EF">
              <w:rPr>
                <w:rFonts w:asciiTheme="minorHAnsi" w:hAnsiTheme="minorHAnsi"/>
                <w:i/>
              </w:rPr>
              <w:t>tients. A l’issue de ces travaux, ils détermineront les conditions de création d’une consultation longue et très complexe pour la prise en charge très spécifique de ces patients. »</w:t>
            </w:r>
          </w:p>
          <w:p w14:paraId="33C76475"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p w14:paraId="0365B812" w14:textId="730E6998"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302EF">
              <w:rPr>
                <w:rFonts w:asciiTheme="minorHAnsi" w:hAnsiTheme="minorHAnsi"/>
              </w:rPr>
              <w:t>Concernant certains actes techniques qui néce</w:t>
            </w:r>
            <w:r w:rsidRPr="001302EF">
              <w:rPr>
                <w:rFonts w:asciiTheme="minorHAnsi" w:hAnsiTheme="minorHAnsi"/>
              </w:rPr>
              <w:t>s</w:t>
            </w:r>
            <w:r w:rsidRPr="001302EF">
              <w:rPr>
                <w:rFonts w:asciiTheme="minorHAnsi" w:hAnsiTheme="minorHAnsi"/>
              </w:rPr>
              <w:t xml:space="preserve">sitent des plateaux techniques lourds (chirurgie, anesthésie-réanimation, gynécologie-obstétrique) : </w:t>
            </w:r>
            <w:r w:rsidR="00D651E0">
              <w:rPr>
                <w:rFonts w:asciiTheme="minorHAnsi" w:hAnsiTheme="minorHAnsi"/>
              </w:rPr>
              <w:t>é</w:t>
            </w:r>
            <w:r w:rsidRPr="001302EF">
              <w:rPr>
                <w:rFonts w:asciiTheme="minorHAnsi" w:hAnsiTheme="minorHAnsi"/>
              </w:rPr>
              <w:t>volution de la liste des actes ouvrant droit aux modificateurs J et K (coeff</w:t>
            </w:r>
            <w:r w:rsidRPr="001302EF">
              <w:rPr>
                <w:rFonts w:asciiTheme="minorHAnsi" w:hAnsiTheme="minorHAnsi"/>
              </w:rPr>
              <w:t>i</w:t>
            </w:r>
            <w:r w:rsidRPr="001302EF">
              <w:rPr>
                <w:rFonts w:asciiTheme="minorHAnsi" w:hAnsiTheme="minorHAnsi"/>
              </w:rPr>
              <w:t xml:space="preserve">cient multiplicateur du tarif) pour les chirurgiens ou les gynécologues-obstétriciens quand ils sont facturés aux </w:t>
            </w:r>
            <w:r w:rsidRPr="001302EF">
              <w:rPr>
                <w:rFonts w:asciiTheme="minorHAnsi" w:hAnsiTheme="minorHAnsi"/>
                <w:b/>
              </w:rPr>
              <w:t>patients bénéficiant de la CMU-C et de l’ACS.</w:t>
            </w:r>
          </w:p>
          <w:p w14:paraId="70533CAA"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C0E5F" w:rsidRPr="001302EF" w14:paraId="4F757C69" w14:textId="77777777" w:rsidTr="001302EF">
        <w:trPr>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l2br w:val="none" w:sz="0" w:space="0" w:color="auto"/>
              <w:tr2bl w:val="none" w:sz="0" w:space="0" w:color="auto"/>
            </w:tcBorders>
          </w:tcPr>
          <w:p w14:paraId="1401BFFC" w14:textId="77777777" w:rsidR="00BC0E5F" w:rsidRPr="001302EF" w:rsidRDefault="00BC0E5F" w:rsidP="00BC0E5F">
            <w:pPr>
              <w:pStyle w:val="Corpsdetexte"/>
              <w:rPr>
                <w:rFonts w:asciiTheme="minorHAnsi" w:hAnsiTheme="minorHAnsi"/>
                <w:b/>
              </w:rPr>
            </w:pPr>
            <w:r w:rsidRPr="001302EF">
              <w:rPr>
                <w:rFonts w:asciiTheme="minorHAnsi" w:hAnsiTheme="minorHAnsi"/>
                <w:b/>
              </w:rPr>
              <w:lastRenderedPageBreak/>
              <w:t>Forfait p</w:t>
            </w:r>
            <w:r w:rsidRPr="001302EF">
              <w:rPr>
                <w:rFonts w:asciiTheme="minorHAnsi" w:hAnsiTheme="minorHAnsi"/>
                <w:b/>
              </w:rPr>
              <w:t>a</w:t>
            </w:r>
            <w:r w:rsidRPr="001302EF">
              <w:rPr>
                <w:rFonts w:asciiTheme="minorHAnsi" w:hAnsiTheme="minorHAnsi"/>
                <w:b/>
              </w:rPr>
              <w:t xml:space="preserve">tientèle médecin Traitant </w:t>
            </w:r>
            <w:r w:rsidRPr="001302EF">
              <w:rPr>
                <w:rFonts w:asciiTheme="minorHAnsi" w:hAnsiTheme="minorHAnsi"/>
              </w:rPr>
              <w:t>(MTF)</w:t>
            </w:r>
          </w:p>
        </w:tc>
        <w:tc>
          <w:tcPr>
            <w:tcW w:w="4377" w:type="dxa"/>
          </w:tcPr>
          <w:p w14:paraId="222EEE08"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Il s’agit d’un forfait unique par patient ayant déclaré le médecin comme médecin traitant, avec une pondération tenant compte du niveau de complexité de la prise en charge. C’est-à-dire des caractéristiques de la patientèle :</w:t>
            </w:r>
          </w:p>
          <w:p w14:paraId="7D6E6751" w14:textId="0AF5E47B" w:rsidR="00BC0E5F" w:rsidRPr="001302EF" w:rsidRDefault="00D651E0" w:rsidP="001302EF">
            <w:pPr>
              <w:pStyle w:val="Listecontinue"/>
              <w:cnfStyle w:val="000000000000" w:firstRow="0" w:lastRow="0" w:firstColumn="0" w:lastColumn="0" w:oddVBand="0" w:evenVBand="0" w:oddHBand="0" w:evenHBand="0" w:firstRowFirstColumn="0" w:firstRowLastColumn="0" w:lastRowFirstColumn="0" w:lastRowLastColumn="0"/>
            </w:pPr>
            <w:r>
              <w:t>â</w:t>
            </w:r>
            <w:r w:rsidR="00BC0E5F" w:rsidRPr="001302EF">
              <w:t>ge</w:t>
            </w:r>
            <w:r>
              <w:t> ;</w:t>
            </w:r>
          </w:p>
          <w:p w14:paraId="0F7E9A65" w14:textId="164B0AB1" w:rsidR="00BC0E5F" w:rsidRPr="001302EF" w:rsidRDefault="00D651E0" w:rsidP="001302EF">
            <w:pPr>
              <w:pStyle w:val="Listecontinue"/>
              <w:cnfStyle w:val="000000000000" w:firstRow="0" w:lastRow="0" w:firstColumn="0" w:lastColumn="0" w:oddVBand="0" w:evenVBand="0" w:oddHBand="0" w:evenHBand="0" w:firstRowFirstColumn="0" w:firstRowLastColumn="0" w:lastRowFirstColumn="0" w:lastRowLastColumn="0"/>
            </w:pPr>
            <w:r>
              <w:t>p</w:t>
            </w:r>
            <w:r w:rsidR="00BC0E5F" w:rsidRPr="001302EF">
              <w:t>athologie (ALD)</w:t>
            </w:r>
            <w:r>
              <w:t> ;</w:t>
            </w:r>
          </w:p>
          <w:p w14:paraId="06F5D3DC" w14:textId="57E5F121" w:rsidR="00BC0E5F" w:rsidRPr="001302EF" w:rsidRDefault="00D651E0" w:rsidP="001302EF">
            <w:pPr>
              <w:pStyle w:val="Listecontinue"/>
              <w:cnfStyle w:val="000000000000" w:firstRow="0" w:lastRow="0" w:firstColumn="0" w:lastColumn="0" w:oddVBand="0" w:evenVBand="0" w:oddHBand="0" w:evenHBand="0" w:firstRowFirstColumn="0" w:firstRowLastColumn="0" w:lastRowFirstColumn="0" w:lastRowLastColumn="0"/>
            </w:pPr>
            <w:r>
              <w:t>p</w:t>
            </w:r>
            <w:r w:rsidR="00BC0E5F" w:rsidRPr="001302EF">
              <w:t>récarité (CMUC)</w:t>
            </w:r>
            <w:r>
              <w:t> ;</w:t>
            </w:r>
          </w:p>
          <w:p w14:paraId="1FCD571F"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La valorisation est de 70 euros pour un patient de 80 ans et plus en ALD ; de 42 euros pour un patient de 80 ans et plus ou en ALD ; de 5 euros pour un patient de 7 à 79  ans hors ALD et de 6 euros pour un patient de 6 ans et moins.</w:t>
            </w:r>
          </w:p>
          <w:p w14:paraId="2393FC95" w14:textId="2B606E1C"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Il vient se substituer aux nombreux forfaits précédents (MPA, FMT, RMT, volet de synthèse médicale</w:t>
            </w:r>
            <w:r w:rsidR="00E95A5A">
              <w:rPr>
                <w:rFonts w:asciiTheme="minorHAnsi" w:hAnsiTheme="minorHAnsi"/>
              </w:rPr>
              <w:t>, etc.</w:t>
            </w:r>
            <w:r w:rsidRPr="001302EF">
              <w:rPr>
                <w:rFonts w:asciiTheme="minorHAnsi" w:hAnsiTheme="minorHAnsi"/>
              </w:rPr>
              <w:t>.).</w:t>
            </w:r>
          </w:p>
          <w:p w14:paraId="7F4D9C11"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Ce forfait est réservé aux médecins du secteur 1 et à ceux engagés dans la maîtrise des dépa</w:t>
            </w:r>
            <w:r w:rsidRPr="001302EF">
              <w:rPr>
                <w:rFonts w:asciiTheme="minorHAnsi" w:hAnsiTheme="minorHAnsi"/>
              </w:rPr>
              <w:t>s</w:t>
            </w:r>
            <w:r w:rsidRPr="001302EF">
              <w:rPr>
                <w:rFonts w:asciiTheme="minorHAnsi" w:hAnsiTheme="minorHAnsi"/>
              </w:rPr>
              <w:t>sements (voir plus bas : OPTAM).</w:t>
            </w:r>
          </w:p>
        </w:tc>
        <w:tc>
          <w:tcPr>
            <w:tcW w:w="4411" w:type="dxa"/>
          </w:tcPr>
          <w:p w14:paraId="5F69445D"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302EF">
              <w:rPr>
                <w:rFonts w:asciiTheme="minorHAnsi" w:hAnsiTheme="minorHAnsi"/>
              </w:rPr>
              <w:t xml:space="preserve">Une majoration supplémentaire est appliquée selon </w:t>
            </w:r>
            <w:r w:rsidRPr="001302EF">
              <w:rPr>
                <w:rFonts w:asciiTheme="minorHAnsi" w:hAnsiTheme="minorHAnsi"/>
                <w:b/>
              </w:rPr>
              <w:t>la part de patientèle en CMU-C.</w:t>
            </w:r>
          </w:p>
          <w:p w14:paraId="64709E4A" w14:textId="2D6CE9F6"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Cette majoration intervient lorsque la part de patients bénéficiaires de la CMU-C du médecin traitant est supérieure au taux moyen national (7%). Elle correspond à la moitié de la différence entre le taux national et le taux constaté pour la patientèle médecin traitant du médecin (pl</w:t>
            </w:r>
            <w:r w:rsidRPr="001302EF">
              <w:rPr>
                <w:rFonts w:asciiTheme="minorHAnsi" w:hAnsiTheme="minorHAnsi"/>
              </w:rPr>
              <w:t>a</w:t>
            </w:r>
            <w:r w:rsidRPr="001302EF">
              <w:rPr>
                <w:rFonts w:asciiTheme="minorHAnsi" w:hAnsiTheme="minorHAnsi"/>
              </w:rPr>
              <w:t>fonnée à 25%). =&gt; Schéma ci-dessous</w:t>
            </w:r>
          </w:p>
        </w:tc>
      </w:tr>
      <w:tr w:rsidR="00BC0E5F" w:rsidRPr="001302EF" w14:paraId="17D159CF" w14:textId="77777777" w:rsidTr="001302EF">
        <w:trPr>
          <w:cantSplit/>
          <w:trHeight w:val="1087"/>
          <w:tblHead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l2br w:val="none" w:sz="0" w:space="0" w:color="auto"/>
              <w:tr2bl w:val="none" w:sz="0" w:space="0" w:color="auto"/>
            </w:tcBorders>
          </w:tcPr>
          <w:p w14:paraId="6932A7D3" w14:textId="77777777" w:rsidR="00BC0E5F" w:rsidRPr="001302EF" w:rsidRDefault="00BC0E5F" w:rsidP="00BC0E5F">
            <w:pPr>
              <w:pStyle w:val="Corpsdetexte"/>
              <w:rPr>
                <w:rFonts w:asciiTheme="minorHAnsi" w:hAnsiTheme="minorHAnsi"/>
                <w:b/>
              </w:rPr>
            </w:pPr>
            <w:r w:rsidRPr="001302EF">
              <w:rPr>
                <w:rFonts w:asciiTheme="minorHAnsi" w:hAnsiTheme="minorHAnsi"/>
                <w:b/>
              </w:rPr>
              <w:t>ROSP</w:t>
            </w:r>
          </w:p>
          <w:p w14:paraId="575D4821" w14:textId="77777777" w:rsidR="00BC0E5F" w:rsidRPr="001302EF" w:rsidRDefault="00BC0E5F" w:rsidP="00BC0E5F">
            <w:pPr>
              <w:pStyle w:val="Corpsdetexte"/>
              <w:rPr>
                <w:rFonts w:asciiTheme="minorHAnsi" w:hAnsiTheme="minorHAnsi"/>
              </w:rPr>
            </w:pPr>
            <w:r w:rsidRPr="001302EF">
              <w:rPr>
                <w:rFonts w:asciiTheme="minorHAnsi" w:hAnsiTheme="minorHAnsi"/>
              </w:rPr>
              <w:t>Rémunér</w:t>
            </w:r>
            <w:r w:rsidRPr="001302EF">
              <w:rPr>
                <w:rFonts w:asciiTheme="minorHAnsi" w:hAnsiTheme="minorHAnsi"/>
              </w:rPr>
              <w:t>a</w:t>
            </w:r>
            <w:r w:rsidRPr="001302EF">
              <w:rPr>
                <w:rFonts w:asciiTheme="minorHAnsi" w:hAnsiTheme="minorHAnsi"/>
              </w:rPr>
              <w:t>tion sur objectifs de santé p</w:t>
            </w:r>
            <w:r w:rsidRPr="001302EF">
              <w:rPr>
                <w:rFonts w:asciiTheme="minorHAnsi" w:hAnsiTheme="minorHAnsi"/>
              </w:rPr>
              <w:t>u</w:t>
            </w:r>
            <w:r w:rsidRPr="001302EF">
              <w:rPr>
                <w:rFonts w:asciiTheme="minorHAnsi" w:hAnsiTheme="minorHAnsi"/>
              </w:rPr>
              <w:t xml:space="preserve">blique </w:t>
            </w:r>
          </w:p>
        </w:tc>
        <w:tc>
          <w:tcPr>
            <w:tcW w:w="4377" w:type="dxa"/>
          </w:tcPr>
          <w:p w14:paraId="30A50B35"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Elle concerne le développement de dispositifs s’attachant à promouvoir et à valoriser l’amélioration de la qualité des soins et favor</w:t>
            </w:r>
            <w:r w:rsidRPr="001302EF">
              <w:rPr>
                <w:rFonts w:asciiTheme="minorHAnsi" w:hAnsiTheme="minorHAnsi"/>
              </w:rPr>
              <w:t>i</w:t>
            </w:r>
            <w:r w:rsidRPr="001302EF">
              <w:rPr>
                <w:rFonts w:asciiTheme="minorHAnsi" w:hAnsiTheme="minorHAnsi"/>
              </w:rPr>
              <w:t>sant le juste soin dans toutes ses composantes. Elle repose sur le suivi d’indicateurs conce</w:t>
            </w:r>
            <w:r w:rsidRPr="001302EF">
              <w:rPr>
                <w:rFonts w:asciiTheme="minorHAnsi" w:hAnsiTheme="minorHAnsi"/>
              </w:rPr>
              <w:t>r</w:t>
            </w:r>
            <w:r w:rsidRPr="001302EF">
              <w:rPr>
                <w:rFonts w:asciiTheme="minorHAnsi" w:hAnsiTheme="minorHAnsi"/>
              </w:rPr>
              <w:t xml:space="preserve">nant :  </w:t>
            </w:r>
          </w:p>
          <w:p w14:paraId="46ABB556" w14:textId="43D99154" w:rsidR="00BC0E5F" w:rsidRPr="001302EF" w:rsidRDefault="00D651E0" w:rsidP="001302EF">
            <w:pPr>
              <w:pStyle w:val="Listecontinue"/>
              <w:cnfStyle w:val="000000000000" w:firstRow="0" w:lastRow="0" w:firstColumn="0" w:lastColumn="0" w:oddVBand="0" w:evenVBand="0" w:oddHBand="0" w:evenHBand="0" w:firstRowFirstColumn="0" w:firstRowLastColumn="0" w:lastRowFirstColumn="0" w:lastRowLastColumn="0"/>
            </w:pPr>
            <w:r>
              <w:t>l</w:t>
            </w:r>
            <w:r w:rsidR="00BC0E5F" w:rsidRPr="001302EF">
              <w:t>a prévention et le dépistage : dépistage des cancers (sein, colorectal, col de l’utérus), prévention de conduites addictives comme le tabac et l’alcool, prévention des pathol</w:t>
            </w:r>
            <w:r w:rsidR="00BC0E5F" w:rsidRPr="001302EF">
              <w:t>o</w:t>
            </w:r>
            <w:r w:rsidR="00BC0E5F" w:rsidRPr="001302EF">
              <w:t>gies infectieuses aiguës (vaccination antigrippale, vaccination ROR)</w:t>
            </w:r>
            <w:r w:rsidR="00E95A5A">
              <w:t>, etc.</w:t>
            </w:r>
            <w:r>
              <w:t> ;</w:t>
            </w:r>
          </w:p>
          <w:p w14:paraId="44589037" w14:textId="0CA90C93" w:rsidR="00BC0E5F" w:rsidRPr="001302EF" w:rsidRDefault="00BC0E5F" w:rsidP="001302EF">
            <w:pPr>
              <w:pStyle w:val="Listecontinue"/>
              <w:cnfStyle w:val="000000000000" w:firstRow="0" w:lastRow="0" w:firstColumn="0" w:lastColumn="0" w:oddVBand="0" w:evenVBand="0" w:oddHBand="0" w:evenHBand="0" w:firstRowFirstColumn="0" w:firstRowLastColumn="0" w:lastRowFirstColumn="0" w:lastRowLastColumn="0"/>
            </w:pPr>
            <w:r w:rsidRPr="001302EF">
              <w:t>Le suivi des pathologies chroniques : di</w:t>
            </w:r>
            <w:r w:rsidRPr="001302EF">
              <w:t>a</w:t>
            </w:r>
            <w:r w:rsidRPr="001302EF">
              <w:t>bètes, risques cardio-vasculaires, hypertension artérielle</w:t>
            </w:r>
            <w:r w:rsidR="00E95A5A">
              <w:t>, etc.</w:t>
            </w:r>
            <w:r w:rsidR="00D651E0">
              <w:t> ;</w:t>
            </w:r>
          </w:p>
          <w:p w14:paraId="14A15E02" w14:textId="4C541AB3" w:rsidR="00BC0E5F" w:rsidRPr="001302EF" w:rsidRDefault="00BC0E5F" w:rsidP="00BC0E5F">
            <w:pPr>
              <w:pStyle w:val="Listecontinue"/>
              <w:cnfStyle w:val="000000000000" w:firstRow="0" w:lastRow="0" w:firstColumn="0" w:lastColumn="0" w:oddVBand="0" w:evenVBand="0" w:oddHBand="0" w:evenHBand="0" w:firstRowFirstColumn="0" w:firstRowLastColumn="0" w:lastRowFirstColumn="0" w:lastRowLastColumn="0"/>
            </w:pPr>
            <w:r w:rsidRPr="001302EF">
              <w:t>L’efficience des prescriptions et la réduction des actes inutiles ou redondants : gén</w:t>
            </w:r>
            <w:r w:rsidRPr="001302EF">
              <w:t>é</w:t>
            </w:r>
            <w:r w:rsidRPr="001302EF">
              <w:t>riques, bio-</w:t>
            </w:r>
            <w:r w:rsidR="001302EF">
              <w:t>similaires</w:t>
            </w:r>
            <w:r w:rsidR="00E95A5A">
              <w:t>, etc.</w:t>
            </w:r>
          </w:p>
          <w:p w14:paraId="0DA025E8"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La ROSP est renforcée et élargie dans la conve</w:t>
            </w:r>
            <w:r w:rsidRPr="001302EF">
              <w:rPr>
                <w:rFonts w:asciiTheme="minorHAnsi" w:hAnsiTheme="minorHAnsi"/>
              </w:rPr>
              <w:t>n</w:t>
            </w:r>
            <w:r w:rsidRPr="001302EF">
              <w:rPr>
                <w:rFonts w:asciiTheme="minorHAnsi" w:hAnsiTheme="minorHAnsi"/>
              </w:rPr>
              <w:t xml:space="preserve">tion médicale 2016. </w:t>
            </w:r>
          </w:p>
          <w:p w14:paraId="53DAEB14"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11" w:type="dxa"/>
          </w:tcPr>
          <w:p w14:paraId="10794824"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C0E5F" w:rsidRPr="001302EF" w14:paraId="15FAD45C" w14:textId="77777777" w:rsidTr="001302EF">
        <w:trPr>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l2br w:val="none" w:sz="0" w:space="0" w:color="auto"/>
              <w:tr2bl w:val="none" w:sz="0" w:space="0" w:color="auto"/>
            </w:tcBorders>
          </w:tcPr>
          <w:p w14:paraId="556F0DAD" w14:textId="77777777" w:rsidR="00BC0E5F" w:rsidRPr="001302EF" w:rsidRDefault="00BC0E5F" w:rsidP="00BC0E5F">
            <w:pPr>
              <w:pStyle w:val="Corpsdetexte"/>
              <w:rPr>
                <w:rFonts w:asciiTheme="minorHAnsi" w:hAnsiTheme="minorHAnsi"/>
                <w:b/>
              </w:rPr>
            </w:pPr>
            <w:r w:rsidRPr="001302EF">
              <w:rPr>
                <w:rFonts w:asciiTheme="minorHAnsi" w:hAnsiTheme="minorHAnsi"/>
                <w:b/>
              </w:rPr>
              <w:lastRenderedPageBreak/>
              <w:t>OPTAM</w:t>
            </w:r>
          </w:p>
          <w:p w14:paraId="206C7786" w14:textId="77777777" w:rsidR="00BC0E5F" w:rsidRPr="001302EF" w:rsidRDefault="00BC0E5F" w:rsidP="00BC0E5F">
            <w:pPr>
              <w:pStyle w:val="Corpsdetexte"/>
              <w:rPr>
                <w:rFonts w:asciiTheme="minorHAnsi" w:hAnsiTheme="minorHAnsi"/>
              </w:rPr>
            </w:pPr>
            <w:r w:rsidRPr="001302EF">
              <w:rPr>
                <w:rFonts w:asciiTheme="minorHAnsi" w:hAnsiTheme="minorHAnsi"/>
              </w:rPr>
              <w:t>Option pr</w:t>
            </w:r>
            <w:r w:rsidRPr="001302EF">
              <w:rPr>
                <w:rFonts w:asciiTheme="minorHAnsi" w:hAnsiTheme="minorHAnsi"/>
              </w:rPr>
              <w:t>a</w:t>
            </w:r>
            <w:r w:rsidRPr="001302EF">
              <w:rPr>
                <w:rFonts w:asciiTheme="minorHAnsi" w:hAnsiTheme="minorHAnsi"/>
              </w:rPr>
              <w:t>tique tarifaire maîtrisée</w:t>
            </w:r>
          </w:p>
          <w:p w14:paraId="7C3202B4" w14:textId="77777777" w:rsidR="00BC0E5F" w:rsidRPr="001302EF" w:rsidRDefault="00BC0E5F" w:rsidP="00BC0E5F">
            <w:pPr>
              <w:pStyle w:val="Corpsdetexte"/>
              <w:rPr>
                <w:rFonts w:asciiTheme="minorHAnsi" w:hAnsiTheme="minorHAnsi"/>
                <w:b/>
              </w:rPr>
            </w:pPr>
            <w:r w:rsidRPr="001302EF">
              <w:rPr>
                <w:rFonts w:asciiTheme="minorHAnsi" w:hAnsiTheme="minorHAnsi"/>
                <w:b/>
              </w:rPr>
              <w:t xml:space="preserve">OPTAM-CO </w:t>
            </w:r>
          </w:p>
          <w:p w14:paraId="259EA7FB" w14:textId="77777777" w:rsidR="00BC0E5F" w:rsidRPr="001302EF" w:rsidRDefault="00BC0E5F" w:rsidP="00BC0E5F">
            <w:pPr>
              <w:pStyle w:val="Corpsdetexte"/>
              <w:rPr>
                <w:rFonts w:asciiTheme="minorHAnsi" w:hAnsiTheme="minorHAnsi"/>
              </w:rPr>
            </w:pPr>
            <w:r w:rsidRPr="001302EF">
              <w:rPr>
                <w:rFonts w:asciiTheme="minorHAnsi" w:hAnsiTheme="minorHAnsi"/>
              </w:rPr>
              <w:t>Option pr</w:t>
            </w:r>
            <w:r w:rsidRPr="001302EF">
              <w:rPr>
                <w:rFonts w:asciiTheme="minorHAnsi" w:hAnsiTheme="minorHAnsi"/>
              </w:rPr>
              <w:t>a</w:t>
            </w:r>
            <w:r w:rsidRPr="001302EF">
              <w:rPr>
                <w:rFonts w:asciiTheme="minorHAnsi" w:hAnsiTheme="minorHAnsi"/>
              </w:rPr>
              <w:t>tique tarifaire maîtrisée chirurgie et obstétrique</w:t>
            </w:r>
          </w:p>
        </w:tc>
        <w:tc>
          <w:tcPr>
            <w:tcW w:w="4377" w:type="dxa"/>
          </w:tcPr>
          <w:p w14:paraId="529F13EF"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L’existence d’importants dépassements d’honoraires dans certaines spécialités et dans certaines zones du territoire réduit l’accès aux soins en entrainant des restes à charges élevés pour certains patients.</w:t>
            </w:r>
          </w:p>
          <w:p w14:paraId="3BCCAA2A"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Le contrat d’accès aux soins (CAS) est désormais remplacé par deux options, une option d</w:t>
            </w:r>
            <w:r w:rsidRPr="001302EF">
              <w:rPr>
                <w:rFonts w:asciiTheme="minorHAnsi" w:hAnsiTheme="minorHAnsi"/>
              </w:rPr>
              <w:t>é</w:t>
            </w:r>
            <w:r w:rsidRPr="001302EF">
              <w:rPr>
                <w:rFonts w:asciiTheme="minorHAnsi" w:hAnsiTheme="minorHAnsi"/>
              </w:rPr>
              <w:t>nommée option pratique tarifaire maîtrisée (OPTAM) applicable à l’ensemble des médecins et une option dénommée option pratique tar</w:t>
            </w:r>
            <w:r w:rsidRPr="001302EF">
              <w:rPr>
                <w:rFonts w:asciiTheme="minorHAnsi" w:hAnsiTheme="minorHAnsi"/>
              </w:rPr>
              <w:t>i</w:t>
            </w:r>
            <w:r w:rsidRPr="001302EF">
              <w:rPr>
                <w:rFonts w:asciiTheme="minorHAnsi" w:hAnsiTheme="minorHAnsi"/>
              </w:rPr>
              <w:t>faire maîtrisée chirurgie et obstétrique (OPTAM-CO) réservé aux chirurgiens et gynéc</w:t>
            </w:r>
            <w:r w:rsidRPr="001302EF">
              <w:rPr>
                <w:rFonts w:asciiTheme="minorHAnsi" w:hAnsiTheme="minorHAnsi"/>
              </w:rPr>
              <w:t>o</w:t>
            </w:r>
            <w:r w:rsidRPr="001302EF">
              <w:rPr>
                <w:rFonts w:asciiTheme="minorHAnsi" w:hAnsiTheme="minorHAnsi"/>
              </w:rPr>
              <w:t>logues obstétriciens.</w:t>
            </w:r>
          </w:p>
          <w:p w14:paraId="35A8EE24"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Il encourage les médecins à maîtriser leur pr</w:t>
            </w:r>
            <w:r w:rsidRPr="001302EF">
              <w:rPr>
                <w:rFonts w:asciiTheme="minorHAnsi" w:hAnsiTheme="minorHAnsi"/>
              </w:rPr>
              <w:t>a</w:t>
            </w:r>
            <w:r w:rsidRPr="001302EF">
              <w:rPr>
                <w:rFonts w:asciiTheme="minorHAnsi" w:hAnsiTheme="minorHAnsi"/>
              </w:rPr>
              <w:t>tique tarifaire et à étendre leur activité au tarif opposable avec une contrepartie d’avantages conventionnels.</w:t>
            </w:r>
          </w:p>
          <w:p w14:paraId="2CC4AF99"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Ils dépendent de deux indicateurs pour lesquels le médecin s’engage : le taux moyen de dépa</w:t>
            </w:r>
            <w:r w:rsidRPr="001302EF">
              <w:rPr>
                <w:rFonts w:asciiTheme="minorHAnsi" w:hAnsiTheme="minorHAnsi"/>
              </w:rPr>
              <w:t>s</w:t>
            </w:r>
            <w:r w:rsidRPr="001302EF">
              <w:rPr>
                <w:rFonts w:asciiTheme="minorHAnsi" w:hAnsiTheme="minorHAnsi"/>
              </w:rPr>
              <w:t>sement et la part de l’activité au tarif opposable. La rémunération dépend des spéci</w:t>
            </w:r>
            <w:r w:rsidRPr="001302EF">
              <w:rPr>
                <w:rFonts w:asciiTheme="minorHAnsi" w:hAnsiTheme="minorHAnsi"/>
              </w:rPr>
              <w:t>a</w:t>
            </w:r>
            <w:r w:rsidRPr="001302EF">
              <w:rPr>
                <w:rFonts w:asciiTheme="minorHAnsi" w:hAnsiTheme="minorHAnsi"/>
              </w:rPr>
              <w:t>lités.</w:t>
            </w:r>
          </w:p>
        </w:tc>
        <w:tc>
          <w:tcPr>
            <w:tcW w:w="4411" w:type="dxa"/>
          </w:tcPr>
          <w:p w14:paraId="1091563A"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302EF">
              <w:rPr>
                <w:rFonts w:asciiTheme="minorHAnsi" w:hAnsiTheme="minorHAnsi"/>
              </w:rPr>
              <w:t xml:space="preserve">La prime OPTAM est calculé sur la base des honoraires réalisés au tarif opposable au cours de l'année civile de référence, c'est-à-dire sans aucun dépassement d'honoraires. Il inclut les actes pratiqués en situation d'urgence médicale, auprès </w:t>
            </w:r>
            <w:r w:rsidRPr="001302EF">
              <w:rPr>
                <w:rFonts w:asciiTheme="minorHAnsi" w:hAnsiTheme="minorHAnsi"/>
                <w:b/>
              </w:rPr>
              <w:t xml:space="preserve">des patients en CMU-C ou disposant de l'attestation ACS. </w:t>
            </w:r>
          </w:p>
          <w:p w14:paraId="32A5BA26"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p w14:paraId="1AE31DCC"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Elle vise ainsi à améliorer l’accès aux soins des patients, notamment ceux dont les revenus sont les plus modestes ne détenant pas de compl</w:t>
            </w:r>
            <w:r w:rsidRPr="001302EF">
              <w:rPr>
                <w:rFonts w:asciiTheme="minorHAnsi" w:hAnsiTheme="minorHAnsi"/>
              </w:rPr>
              <w:t>é</w:t>
            </w:r>
            <w:r w:rsidRPr="001302EF">
              <w:rPr>
                <w:rFonts w:asciiTheme="minorHAnsi" w:hAnsiTheme="minorHAnsi"/>
              </w:rPr>
              <w:t xml:space="preserve">mentaire santé ou une complémentaire remboursant mal les dépassements. </w:t>
            </w:r>
          </w:p>
        </w:tc>
      </w:tr>
      <w:tr w:rsidR="00BC0E5F" w:rsidRPr="001302EF" w14:paraId="689D562D" w14:textId="77777777" w:rsidTr="001302EF">
        <w:trPr>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l2br w:val="none" w:sz="0" w:space="0" w:color="auto"/>
              <w:tr2bl w:val="none" w:sz="0" w:space="0" w:color="auto"/>
            </w:tcBorders>
          </w:tcPr>
          <w:p w14:paraId="52B17835" w14:textId="77777777" w:rsidR="00BC0E5F" w:rsidRPr="001302EF" w:rsidRDefault="00BC0E5F" w:rsidP="00BC0E5F">
            <w:pPr>
              <w:pStyle w:val="Corpsdetexte"/>
              <w:rPr>
                <w:rFonts w:asciiTheme="minorHAnsi" w:hAnsiTheme="minorHAnsi"/>
                <w:b/>
              </w:rPr>
            </w:pPr>
            <w:r w:rsidRPr="001302EF">
              <w:rPr>
                <w:rFonts w:asciiTheme="minorHAnsi" w:hAnsiTheme="minorHAnsi"/>
                <w:b/>
              </w:rPr>
              <w:t>Forfait structure</w:t>
            </w:r>
          </w:p>
        </w:tc>
        <w:tc>
          <w:tcPr>
            <w:tcW w:w="4377" w:type="dxa"/>
          </w:tcPr>
          <w:p w14:paraId="7D5D583A" w14:textId="519120D0"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Ce forfait vise à accompagner tous les médecins qui souhaitent investir dans la mise en place d’outils et d’organisations nouvelles facilitant leur pratique, le suivi des patients, les échanges avec les autres professionnels de santé, la ge</w:t>
            </w:r>
            <w:r w:rsidRPr="001302EF">
              <w:rPr>
                <w:rFonts w:asciiTheme="minorHAnsi" w:hAnsiTheme="minorHAnsi"/>
              </w:rPr>
              <w:t>s</w:t>
            </w:r>
            <w:r w:rsidRPr="001302EF">
              <w:rPr>
                <w:rFonts w:asciiTheme="minorHAnsi" w:hAnsiTheme="minorHAnsi"/>
              </w:rPr>
              <w:t>tion de leur cabinet au quotidien</w:t>
            </w:r>
            <w:r w:rsidR="00E95A5A">
              <w:rPr>
                <w:rFonts w:asciiTheme="minorHAnsi" w:hAnsiTheme="minorHAnsi"/>
              </w:rPr>
              <w:t>,etc.</w:t>
            </w:r>
            <w:r w:rsidRPr="001302EF">
              <w:rPr>
                <w:rFonts w:asciiTheme="minorHAnsi" w:hAnsiTheme="minorHAnsi"/>
              </w:rPr>
              <w:t xml:space="preserve"> Il leur permet de se libérer d’une partie de leurs tâches administratives et de recentrer leur activité sur la pratique médicale.</w:t>
            </w:r>
          </w:p>
          <w:p w14:paraId="010E9426"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Le médecin obtient une rémunération annuelle selon le niveau d’atteinte de certains indic</w:t>
            </w:r>
            <w:r w:rsidRPr="001302EF">
              <w:rPr>
                <w:rFonts w:asciiTheme="minorHAnsi" w:hAnsiTheme="minorHAnsi"/>
              </w:rPr>
              <w:t>a</w:t>
            </w:r>
            <w:r w:rsidRPr="001302EF">
              <w:rPr>
                <w:rFonts w:asciiTheme="minorHAnsi" w:hAnsiTheme="minorHAnsi"/>
              </w:rPr>
              <w:t xml:space="preserve">teurs. Ces indicateurs se divisent en deux volets. Le premier concerne l’équipement du cabinet (exemple : logiciels), le second concerne les modes d’organisation mis en place pour apporter des services supplémentaires aux patients. </w:t>
            </w:r>
          </w:p>
          <w:p w14:paraId="275618A6"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11" w:type="dxa"/>
          </w:tcPr>
          <w:p w14:paraId="2CFC5D8B"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Le second volet comprend un indicateur co</w:t>
            </w:r>
            <w:r w:rsidRPr="001302EF">
              <w:rPr>
                <w:rFonts w:asciiTheme="minorHAnsi" w:hAnsiTheme="minorHAnsi"/>
              </w:rPr>
              <w:t>n</w:t>
            </w:r>
            <w:r w:rsidRPr="001302EF">
              <w:rPr>
                <w:rFonts w:asciiTheme="minorHAnsi" w:hAnsiTheme="minorHAnsi"/>
              </w:rPr>
              <w:t xml:space="preserve">cernant les services rendus aux patients et notamment la </w:t>
            </w:r>
            <w:r w:rsidRPr="001302EF">
              <w:rPr>
                <w:rFonts w:asciiTheme="minorHAnsi" w:hAnsiTheme="minorHAnsi"/>
                <w:b/>
              </w:rPr>
              <w:t xml:space="preserve">résolution des problèmes liés à l’accès aux droits. </w:t>
            </w:r>
          </w:p>
        </w:tc>
      </w:tr>
      <w:tr w:rsidR="00BC0E5F" w:rsidRPr="001302EF" w14:paraId="435E9D34" w14:textId="77777777" w:rsidTr="001302EF">
        <w:trPr>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l2br w:val="none" w:sz="0" w:space="0" w:color="auto"/>
              <w:tr2bl w:val="none" w:sz="0" w:space="0" w:color="auto"/>
            </w:tcBorders>
          </w:tcPr>
          <w:p w14:paraId="76FFF923" w14:textId="77777777" w:rsidR="00BC0E5F" w:rsidRPr="001302EF" w:rsidRDefault="00BC0E5F" w:rsidP="00BC0E5F">
            <w:pPr>
              <w:pStyle w:val="Corpsdetexte"/>
              <w:rPr>
                <w:rFonts w:asciiTheme="minorHAnsi" w:hAnsiTheme="minorHAnsi"/>
                <w:b/>
              </w:rPr>
            </w:pPr>
            <w:r w:rsidRPr="001302EF">
              <w:rPr>
                <w:rFonts w:asciiTheme="minorHAnsi" w:hAnsiTheme="minorHAnsi"/>
                <w:b/>
              </w:rPr>
              <w:lastRenderedPageBreak/>
              <w:t>Contrats pour am</w:t>
            </w:r>
            <w:r w:rsidRPr="001302EF">
              <w:rPr>
                <w:rFonts w:asciiTheme="minorHAnsi" w:hAnsiTheme="minorHAnsi"/>
                <w:b/>
              </w:rPr>
              <w:t>é</w:t>
            </w:r>
            <w:r w:rsidRPr="001302EF">
              <w:rPr>
                <w:rFonts w:asciiTheme="minorHAnsi" w:hAnsiTheme="minorHAnsi"/>
                <w:b/>
              </w:rPr>
              <w:t>liorer la répartition de l’offre de soins sur le territoire</w:t>
            </w:r>
          </w:p>
        </w:tc>
        <w:tc>
          <w:tcPr>
            <w:tcW w:w="4377" w:type="dxa"/>
          </w:tcPr>
          <w:p w14:paraId="5505B4BE"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Ces contrats visent à lutter contre l’insuffisance de l’offre de soins et les difficultés d’accès aux soins dans certaines zones. Il se décline en pl</w:t>
            </w:r>
            <w:r w:rsidRPr="001302EF">
              <w:rPr>
                <w:rFonts w:asciiTheme="minorHAnsi" w:hAnsiTheme="minorHAnsi"/>
              </w:rPr>
              <w:t>u</w:t>
            </w:r>
            <w:r w:rsidRPr="001302EF">
              <w:rPr>
                <w:rFonts w:asciiTheme="minorHAnsi" w:hAnsiTheme="minorHAnsi"/>
              </w:rPr>
              <w:t>sieurs forfaits : contrat d’aide à l’installation des médecins (CAIM), contrat de transition pour les médecins (COTRAM), contrat de stabilisation et de coordination pour les médecins (COSCOM) et contrat de solidarité territoriale médecin (CSTM).</w:t>
            </w:r>
          </w:p>
          <w:p w14:paraId="56F3AEC5" w14:textId="15587057" w:rsidR="00BC0E5F" w:rsidRPr="001302EF" w:rsidRDefault="00BC0E5F" w:rsidP="009C3ADC">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2EF">
              <w:rPr>
                <w:rFonts w:asciiTheme="minorHAnsi" w:hAnsiTheme="minorHAnsi"/>
              </w:rPr>
              <w:t>A titre d’exemple, le CAIM correspond à une aide forfaitaire de 50</w:t>
            </w:r>
            <w:r w:rsidR="009C3ADC">
              <w:rPr>
                <w:rFonts w:asciiTheme="minorHAnsi" w:hAnsiTheme="minorHAnsi"/>
              </w:rPr>
              <w:t> </w:t>
            </w:r>
            <w:r w:rsidRPr="001302EF">
              <w:rPr>
                <w:rFonts w:asciiTheme="minorHAnsi" w:hAnsiTheme="minorHAnsi"/>
              </w:rPr>
              <w:t>000</w:t>
            </w:r>
            <w:r w:rsidR="009C3ADC">
              <w:rPr>
                <w:rFonts w:asciiTheme="minorHAnsi" w:hAnsiTheme="minorHAnsi"/>
              </w:rPr>
              <w:t xml:space="preserve"> euros</w:t>
            </w:r>
            <w:r w:rsidRPr="001302EF">
              <w:rPr>
                <w:rFonts w:asciiTheme="minorHAnsi" w:hAnsiTheme="minorHAnsi"/>
              </w:rPr>
              <w:t xml:space="preserve"> versée sur deux ans.</w:t>
            </w:r>
          </w:p>
        </w:tc>
        <w:tc>
          <w:tcPr>
            <w:tcW w:w="4411" w:type="dxa"/>
          </w:tcPr>
          <w:p w14:paraId="5D849BEC" w14:textId="77777777" w:rsidR="00BC0E5F" w:rsidRPr="001302EF" w:rsidRDefault="00BC0E5F" w:rsidP="00BC0E5F">
            <w:pPr>
              <w:pStyle w:val="Corpsdetexte"/>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1FC1A005" w14:textId="77777777" w:rsidR="003267AE" w:rsidRDefault="00631079" w:rsidP="00837EA6">
      <w:pPr>
        <w:pStyle w:val="Corpsdetexte"/>
      </w:pPr>
      <w:r w:rsidRPr="00631079">
        <w:rPr>
          <w:noProof/>
          <w:lang w:eastAsia="fr-FR"/>
        </w:rPr>
        <w:drawing>
          <wp:inline distT="0" distB="0" distL="0" distR="0" wp14:anchorId="73738D82" wp14:editId="15D19571">
            <wp:extent cx="4851779" cy="2503394"/>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9067" cy="2507154"/>
                    </a:xfrm>
                    <a:prstGeom prst="rect">
                      <a:avLst/>
                    </a:prstGeom>
                    <a:noFill/>
                    <a:ln>
                      <a:noFill/>
                    </a:ln>
                  </pic:spPr>
                </pic:pic>
              </a:graphicData>
            </a:graphic>
          </wp:inline>
        </w:drawing>
      </w:r>
    </w:p>
    <w:p w14:paraId="6224A845" w14:textId="77777777" w:rsidR="00631079" w:rsidRDefault="00631079" w:rsidP="00837EA6">
      <w:pPr>
        <w:pStyle w:val="Corpsdetexte"/>
      </w:pPr>
    </w:p>
    <w:p w14:paraId="335851B5" w14:textId="77777777" w:rsidR="00631079" w:rsidRDefault="00631079" w:rsidP="00837EA6">
      <w:pPr>
        <w:pStyle w:val="Corpsdetexte"/>
      </w:pPr>
    </w:p>
    <w:p w14:paraId="5B347C54" w14:textId="624FB388" w:rsidR="00E01024" w:rsidRPr="00E01024" w:rsidRDefault="009F7F51" w:rsidP="0089253F">
      <w:pPr>
        <w:pStyle w:val="Titre2Annexes"/>
        <w:ind w:left="0"/>
      </w:pPr>
      <w:bookmarkStart w:id="537" w:name="_Toc523327732"/>
      <w:r>
        <w:lastRenderedPageBreak/>
        <w:t>L</w:t>
      </w:r>
      <w:r w:rsidR="00E01024" w:rsidRPr="00E01024">
        <w:t xml:space="preserve">a </w:t>
      </w:r>
      <w:r w:rsidR="00D651E0">
        <w:t>B</w:t>
      </w:r>
      <w:r w:rsidR="00E01024" w:rsidRPr="00E01024">
        <w:t xml:space="preserve">anque </w:t>
      </w:r>
      <w:r w:rsidR="00D651E0">
        <w:t>C</w:t>
      </w:r>
      <w:r w:rsidR="00E01024" w:rsidRPr="00E01024">
        <w:t>arrefour de sécurité sociale</w:t>
      </w:r>
      <w:r w:rsidR="007371E9">
        <w:t xml:space="preserve"> belge</w:t>
      </w:r>
      <w:bookmarkEnd w:id="537"/>
      <w:r w:rsidR="00E01024" w:rsidRPr="00E01024">
        <w:t xml:space="preserve"> </w:t>
      </w:r>
    </w:p>
    <w:p w14:paraId="07928D38" w14:textId="77777777" w:rsidR="00E01024" w:rsidRPr="00E01024" w:rsidRDefault="00E01024" w:rsidP="00E01024">
      <w:pPr>
        <w:pStyle w:val="Corpsdetexte"/>
      </w:pPr>
      <w:r w:rsidRPr="00E01024">
        <w:t>La Banque Carrefour de sécurité sociale belge offre un service intégré sur le champ de l’ensemble des prestations sociales.</w:t>
      </w:r>
    </w:p>
    <w:p w14:paraId="1C4043A2" w14:textId="77777777" w:rsidR="00E01024" w:rsidRPr="00E01024" w:rsidRDefault="00E01024" w:rsidP="00E01024">
      <w:pPr>
        <w:pStyle w:val="Corpsdetexte"/>
      </w:pPr>
      <w:r w:rsidRPr="00E01024">
        <w:t>La Banque Carrefour a pour missions :</w:t>
      </w:r>
    </w:p>
    <w:p w14:paraId="16443F01" w14:textId="68B9A1C6" w:rsidR="00E01024" w:rsidRPr="00E01024" w:rsidRDefault="00E01024" w:rsidP="00181084">
      <w:pPr>
        <w:pStyle w:val="Listecontinue"/>
      </w:pPr>
      <w:r w:rsidRPr="00E01024">
        <w:t>d'inciter les acteurs du secteur social belge</w:t>
      </w:r>
      <w:r w:rsidR="007371E9">
        <w:t xml:space="preserve"> </w:t>
      </w:r>
      <w:r w:rsidRPr="00E01024">
        <w:t>à offrir des services effectifs et efficaces avec un minimum de charges administratives et de coûts pour toutes les parties concernées</w:t>
      </w:r>
      <w:r w:rsidR="00D651E0">
        <w:t> :</w:t>
      </w:r>
    </w:p>
    <w:p w14:paraId="5331BC04" w14:textId="2676EA34" w:rsidR="00E01024" w:rsidRPr="00E01024" w:rsidRDefault="00E01024" w:rsidP="00E01024">
      <w:pPr>
        <w:pStyle w:val="Listecontinue2"/>
      </w:pPr>
      <w:r w:rsidRPr="00E01024">
        <w:t>d'une manière qui convienne de façon optimale aux divers utilisateurs finaux des services</w:t>
      </w:r>
      <w:r w:rsidR="00D651E0">
        <w:t> ;</w:t>
      </w:r>
    </w:p>
    <w:p w14:paraId="3606B733" w14:textId="14F812EE" w:rsidR="00E01024" w:rsidRPr="00E01024" w:rsidRDefault="00E01024" w:rsidP="00E01024">
      <w:pPr>
        <w:pStyle w:val="Listecontinue2"/>
      </w:pPr>
      <w:r w:rsidRPr="00E01024">
        <w:t>grâce à l'amélioration permanente de leurs relations et processus (mutuels) à l'aide des nouvelles technol</w:t>
      </w:r>
      <w:r w:rsidRPr="00E01024">
        <w:t>o</w:t>
      </w:r>
      <w:r w:rsidRPr="00E01024">
        <w:t>gies (e-government)</w:t>
      </w:r>
      <w:r w:rsidR="00D651E0">
        <w:t> ;</w:t>
      </w:r>
    </w:p>
    <w:p w14:paraId="3AAEFFE3" w14:textId="26A75C2C" w:rsidR="00E01024" w:rsidRPr="00E01024" w:rsidRDefault="00E01024" w:rsidP="00E01024">
      <w:pPr>
        <w:pStyle w:val="Listecontinue2"/>
      </w:pPr>
      <w:r w:rsidRPr="00E01024">
        <w:t>en partant d'une vision commune, élaborée d</w:t>
      </w:r>
      <w:r w:rsidR="00D651E0">
        <w:t>’un</w:t>
      </w:r>
      <w:r w:rsidRPr="00E01024">
        <w:t xml:space="preserve"> commun accord</w:t>
      </w:r>
      <w:r w:rsidR="00D651E0">
        <w:t> ;</w:t>
      </w:r>
    </w:p>
    <w:p w14:paraId="669B7191" w14:textId="31D9A47E" w:rsidR="00E01024" w:rsidRPr="00E01024" w:rsidRDefault="00E01024" w:rsidP="00E01024">
      <w:pPr>
        <w:pStyle w:val="Listecontinue"/>
      </w:pPr>
      <w:r w:rsidRPr="00E01024">
        <w:t>de promouvoir la sécurité de l'information et la protection de la vie privée par les acteurs du secteur social belge afin que tous les intéressés puissent avoir confiance à juste titre</w:t>
      </w:r>
      <w:r w:rsidR="00D651E0">
        <w:t> ;</w:t>
      </w:r>
    </w:p>
    <w:p w14:paraId="7460BA2A" w14:textId="058848B9" w:rsidR="00E01024" w:rsidRPr="00E01024" w:rsidRDefault="00E01024" w:rsidP="00E01024">
      <w:pPr>
        <w:pStyle w:val="Listecontinue"/>
      </w:pPr>
      <w:r w:rsidRPr="00E01024">
        <w:t>de mettre à la disposition des dirigeants politiques et des chercheurs des informations intégrées et intersect</w:t>
      </w:r>
      <w:r w:rsidRPr="00E01024">
        <w:t>o</w:t>
      </w:r>
      <w:r w:rsidRPr="00E01024">
        <w:t>rielles qui serviront d'appui à la politique</w:t>
      </w:r>
      <w:r w:rsidR="00D651E0">
        <w:t>.</w:t>
      </w:r>
    </w:p>
    <w:p w14:paraId="3DD2CC14" w14:textId="77777777" w:rsidR="00E01024" w:rsidRPr="00E01024" w:rsidRDefault="00E01024" w:rsidP="00E01024">
      <w:pPr>
        <w:pStyle w:val="Corpsdetexte"/>
      </w:pPr>
      <w:r w:rsidRPr="00E01024">
        <w:t>La Banque Carrefour a développé un réseau numérique reliant les différentes institutions de sécurité sociale.</w:t>
      </w:r>
    </w:p>
    <w:p w14:paraId="5AEBE79E" w14:textId="77777777" w:rsidR="00E01024" w:rsidRPr="00E01024" w:rsidRDefault="00E01024" w:rsidP="00FB69D1">
      <w:pPr>
        <w:pStyle w:val="Listecontinue"/>
      </w:pPr>
      <w:r w:rsidRPr="00E01024">
        <w:t>Au sein du réseau, la Banque Carrefour fait office de moteur dans une dynamique de partage de l'information relative aux assurés sociaux et aux employeurs. Chaque institution de sécurité sociale est responsable de l'enregistrement et de la tenue à jour des informations contenues dans sa banque de données.</w:t>
      </w:r>
    </w:p>
    <w:p w14:paraId="272175C3" w14:textId="77777777" w:rsidR="00E01024" w:rsidRPr="00E01024" w:rsidRDefault="00E01024" w:rsidP="00FB69D1">
      <w:pPr>
        <w:pStyle w:val="Listecontinue"/>
      </w:pPr>
      <w:r w:rsidRPr="00E01024">
        <w:t xml:space="preserve">Sur base d'autorisations très strictes, les informations contenues dans les différentes banques de données sont accessibles aux autres institutions de sécurité sociale </w:t>
      </w:r>
      <w:r w:rsidRPr="0057371A">
        <w:rPr>
          <w:i/>
        </w:rPr>
        <w:t xml:space="preserve">via </w:t>
      </w:r>
      <w:r w:rsidRPr="00E01024">
        <w:t>le réseau ; ceci évite les collectes multiples de données identiques.</w:t>
      </w:r>
    </w:p>
    <w:p w14:paraId="49AF79C1" w14:textId="77777777" w:rsidR="00E01024" w:rsidRPr="00E01024" w:rsidRDefault="00E01024" w:rsidP="00FB69D1">
      <w:pPr>
        <w:pStyle w:val="Listecontinue"/>
      </w:pPr>
      <w:r w:rsidRPr="00E01024">
        <w:t>Les données sociales à caractère personnel sont conservées et gérées par l'institution qui, selon la nature des données, est la plus à même de les exploiter.</w:t>
      </w:r>
    </w:p>
    <w:p w14:paraId="6BDEB8A1" w14:textId="7D87CFCF" w:rsidR="00E01024" w:rsidRPr="00E01024" w:rsidRDefault="00E01024" w:rsidP="00E01024">
      <w:pPr>
        <w:pStyle w:val="Corpsdetexte"/>
      </w:pPr>
      <w:r w:rsidRPr="00E01024">
        <w:t>En vue d'un échange automatisé de données à caractère personnel, la Banque Carrefour dispose d'une banque de données qui ne contient pas d'informations de fond, mais uniquement des données de référence, qui indiquent par personne quelles données sont</w:t>
      </w:r>
      <w:r w:rsidR="00D651E0">
        <w:t xml:space="preserve"> con</w:t>
      </w:r>
      <w:r w:rsidRPr="00E01024">
        <w:t xml:space="preserve">tenues dans quels régimes ou institutions de sécurité sociale et peuvent être obtenues. </w:t>
      </w:r>
    </w:p>
    <w:p w14:paraId="5A5DD852" w14:textId="77777777" w:rsidR="00E01024" w:rsidRPr="00E01024" w:rsidRDefault="00E01024" w:rsidP="00E01024">
      <w:pPr>
        <w:pStyle w:val="Corpsdetexte"/>
      </w:pPr>
      <w:r w:rsidRPr="00E01024">
        <w:t>Concrètement, le répertoire des références est constitué de différentes tables, reliées entre elles, dont les princ</w:t>
      </w:r>
      <w:r w:rsidRPr="00E01024">
        <w:t>i</w:t>
      </w:r>
      <w:r w:rsidRPr="00E01024">
        <w:t>pales sont :</w:t>
      </w:r>
    </w:p>
    <w:p w14:paraId="5D40A7EA" w14:textId="47E6097B" w:rsidR="00E01024" w:rsidRPr="00E01024" w:rsidRDefault="00E01024" w:rsidP="00FB69D1">
      <w:pPr>
        <w:pStyle w:val="Listecontinue"/>
      </w:pPr>
      <w:r w:rsidRPr="00E01024">
        <w:t>le répertoire des personnes (table qui-où-comment-quand), qui indique pour quelles personnes, en quelle qu</w:t>
      </w:r>
      <w:r w:rsidRPr="00E01024">
        <w:t>a</w:t>
      </w:r>
      <w:r w:rsidRPr="00E01024">
        <w:t xml:space="preserve">lité et pour quelle période, des institutions </w:t>
      </w:r>
      <w:r w:rsidR="009E5A53" w:rsidRPr="00E01024">
        <w:t>de</w:t>
      </w:r>
      <w:r w:rsidRPr="00E01024">
        <w:t xml:space="preserve"> sécurité sociale détiennent un dossier</w:t>
      </w:r>
      <w:r w:rsidR="00D651E0">
        <w:t> ;</w:t>
      </w:r>
      <w:r w:rsidRPr="00E01024">
        <w:t> </w:t>
      </w:r>
    </w:p>
    <w:p w14:paraId="1476ABF4" w14:textId="5E3C3182" w:rsidR="00E01024" w:rsidRPr="00E01024" w:rsidRDefault="00E01024" w:rsidP="00FB69D1">
      <w:pPr>
        <w:pStyle w:val="Listecontinue"/>
      </w:pPr>
      <w:r w:rsidRPr="00E01024">
        <w:t>la table d'autorisation d'accès (table qui-obtient-quoi), qui indique quelles données peuvent être obtenues par les diverses institutions de sécurité sociale concernant les différents types de dossiers</w:t>
      </w:r>
      <w:r w:rsidR="00D651E0">
        <w:t> ;</w:t>
      </w:r>
    </w:p>
    <w:p w14:paraId="27AF715B" w14:textId="12709C96" w:rsidR="00E01024" w:rsidRPr="00E01024" w:rsidRDefault="00E01024" w:rsidP="00FB69D1">
      <w:pPr>
        <w:pStyle w:val="Listecontinue"/>
      </w:pPr>
      <w:r w:rsidRPr="00E01024">
        <w:t>la table de disponibilité (table quoi-où), qui indique quelles données sont disponibles dans les différents types d'institutions de sécurité sociale selon les différents types de dossiers</w:t>
      </w:r>
      <w:r w:rsidR="00D651E0">
        <w:t>.</w:t>
      </w:r>
    </w:p>
    <w:p w14:paraId="109C6F00" w14:textId="77777777" w:rsidR="00E01024" w:rsidRPr="00E01024" w:rsidRDefault="00E01024" w:rsidP="00E01024">
      <w:pPr>
        <w:pStyle w:val="Corpsdetexte"/>
      </w:pPr>
      <w:r w:rsidRPr="00E01024">
        <w:t>Le répertoire des références qui est mis en œuvre sous forme d'une banque de données relationnelle remplit trois fonctions :</w:t>
      </w:r>
    </w:p>
    <w:p w14:paraId="5C5B1CA7" w14:textId="77777777" w:rsidR="00E01024" w:rsidRPr="00E01024" w:rsidRDefault="00E01024" w:rsidP="00FB69D1">
      <w:pPr>
        <w:pStyle w:val="Listecontinue"/>
      </w:pPr>
      <w:r w:rsidRPr="00E01024">
        <w:t>Premièrement, il permet à la Banque Carrefour de mener en de bonnes voies l'échange de données à caractère personnel entre les institutions de sécurité sociale. Lorsqu'une institution de sécurité sociale a besoin de ce</w:t>
      </w:r>
      <w:r w:rsidRPr="00E01024">
        <w:t>r</w:t>
      </w:r>
      <w:r w:rsidRPr="00E01024">
        <w:t>taines données à caractère personnel pour l'exécution de ses missions, le répertoire des références effectuera automatiquement le routage de cette demande vers l'institution de sécurité sociale la plus apte à mettre à di</w:t>
      </w:r>
      <w:r w:rsidRPr="00E01024">
        <w:t>s</w:t>
      </w:r>
      <w:r w:rsidRPr="00E01024">
        <w:t>position les données à caractère personnel ; une réponse sera ensuite transmise de façon efficace à l'institution de sécurité sociale demanderesse. Le répertoire des références garantit en outre l'anonymat de l'appartenance d'un assuré social à l'institution coopérante de sécurité sociale librement choisie par lui (il s'agit principalement de l'appartenance syndicale et mutualiste).</w:t>
      </w:r>
    </w:p>
    <w:p w14:paraId="2E6721B7" w14:textId="77777777" w:rsidR="00E01024" w:rsidRPr="00E01024" w:rsidRDefault="00E01024" w:rsidP="00FB69D1">
      <w:pPr>
        <w:pStyle w:val="Listecontinue"/>
      </w:pPr>
      <w:r w:rsidRPr="00E01024">
        <w:lastRenderedPageBreak/>
        <w:t>Deuxièmement, le répertoire des références permet à la Banque Carrefour de réaliser un contrôle préventif de la légitimité des échanges de données à caractère personnel. La confrontation systématique de tout échange de données au répertoire des références de la Banque Carrefour garantit que l'information communiquée co</w:t>
      </w:r>
      <w:r w:rsidRPr="00E01024">
        <w:t>n</w:t>
      </w:r>
      <w:r w:rsidRPr="00E01024">
        <w:t>cerne bien la même personne pour toutes les institutions concernées par l'échange et que l'échange est effectué conformément à l'autorisation du Comité sectoriel de la sécurité sociale et de la santé et selon les m</w:t>
      </w:r>
      <w:r w:rsidRPr="00E01024">
        <w:t>o</w:t>
      </w:r>
      <w:r w:rsidRPr="00E01024">
        <w:t>dalités établies par la Banque Carrefour.</w:t>
      </w:r>
    </w:p>
    <w:p w14:paraId="4585244D" w14:textId="46442510" w:rsidR="00E01024" w:rsidRPr="00E01024" w:rsidRDefault="00E01024" w:rsidP="00FB69D1">
      <w:pPr>
        <w:pStyle w:val="Listecontinue"/>
      </w:pPr>
      <w:r w:rsidRPr="00E01024">
        <w:t>Finalement, le répertoire des références a une fonction de signal. Il communique</w:t>
      </w:r>
      <w:r w:rsidR="00C81A56">
        <w:t>, à son</w:t>
      </w:r>
      <w:r w:rsidRPr="00E01024">
        <w:t>initiative</w:t>
      </w:r>
      <w:r w:rsidR="00C81A56">
        <w:t>,</w:t>
      </w:r>
      <w:r w:rsidRPr="00E01024">
        <w:t xml:space="preserve"> toute modif</w:t>
      </w:r>
      <w:r w:rsidRPr="00E01024">
        <w:t>i</w:t>
      </w:r>
      <w:r w:rsidRPr="00E01024">
        <w:t>cation de données à caractère personnel aux institutions de sécurité sociale qui sont susceptibles d'en avoir besoin et veille à ce que l'accès aux données s'opère dans un contexte de sécurité et soit conforme aux autor</w:t>
      </w:r>
      <w:r w:rsidRPr="00E01024">
        <w:t>i</w:t>
      </w:r>
      <w:r w:rsidRPr="00E01024">
        <w:t>sations accordées aux personnes qui, en raison de leur fonction ou pour le besoin du service, peuvent y avoir accès.</w:t>
      </w:r>
    </w:p>
    <w:p w14:paraId="1FCE6801" w14:textId="77777777" w:rsidR="00E01024" w:rsidRPr="00E01024" w:rsidRDefault="00E01024" w:rsidP="00E01024">
      <w:pPr>
        <w:pStyle w:val="Corpsdetexte"/>
      </w:pPr>
      <w:r w:rsidRPr="00E01024">
        <w:t>Lorsqu'une institution de sécurité sociale a besoin de certaines données pour l'exécution de sa mission, elle est obligée d'adresser sa demande par voie électronique à la Banque Carrefour. Grâce au répertoire de référence et de localisation dont elle dispose, la Banque Carrefour peut vérifier si les données recherchées sont déjà disponibles dans une autre institution de sécurité sociale intégrée dans le réseau d'informations distribuées. Dans l'affirmative, elle se charge de mettre à la disposition de l'institution demanderesse les données nécessaires qui sont disponibles dans une autre institution de sécurité sociale.</w:t>
      </w:r>
    </w:p>
    <w:p w14:paraId="4C78B386" w14:textId="77777777" w:rsidR="00E01024" w:rsidRPr="00E01024" w:rsidRDefault="00E01024" w:rsidP="00E01024">
      <w:pPr>
        <w:pStyle w:val="Corpsdetexte"/>
      </w:pPr>
      <w:r w:rsidRPr="00E01024">
        <w:t>Ce n'est que lorsque les données sollicitées ne sont pas encore disponibles dans le réseau que l'institution dema</w:t>
      </w:r>
      <w:r w:rsidRPr="00E01024">
        <w:t>n</w:t>
      </w:r>
      <w:r w:rsidRPr="00E01024">
        <w:t>deresse peut les demander directement à l'employeur ou à l'assuré social. De ce fait, différentes institutions ne demandent pas plusieurs fois à la même personne les mêmes données.</w:t>
      </w:r>
    </w:p>
    <w:p w14:paraId="4D8BE842" w14:textId="77777777" w:rsidR="00E01024" w:rsidRPr="00E01024" w:rsidRDefault="00E01024" w:rsidP="00E01024">
      <w:pPr>
        <w:pStyle w:val="Corpsdetexte"/>
      </w:pPr>
      <w:r w:rsidRPr="00E01024">
        <w:t>La Banque Carrefour veille également à communiquer automatiquement certaines modifications apportées par une institution aux données que celle-ci conserve. Ces communications sont destinées aux autres institutions int</w:t>
      </w:r>
      <w:r w:rsidRPr="00E01024">
        <w:t>é</w:t>
      </w:r>
      <w:r w:rsidRPr="00E01024">
        <w:t>grées dans le réseau et qui doivent avoir connaissance des modifications intervenues.</w:t>
      </w:r>
    </w:p>
    <w:p w14:paraId="0B59F7E2" w14:textId="77777777" w:rsidR="00E01024" w:rsidRPr="00E01024" w:rsidRDefault="00E01024" w:rsidP="00E01024">
      <w:pPr>
        <w:pStyle w:val="Corpsdetexte"/>
      </w:pPr>
      <w:r w:rsidRPr="00E01024">
        <w:t>La Banque Carrefour joue également un rôle moteur dans le développement du portail de la sécurité s</w:t>
      </w:r>
      <w:r w:rsidRPr="00E01024">
        <w:t>o</w:t>
      </w:r>
      <w:r w:rsidRPr="00E01024">
        <w:t>ciale </w:t>
      </w:r>
      <w:hyperlink r:id="rId37" w:tgtFrame="_blank" w:history="1">
        <w:r w:rsidRPr="00E01024">
          <w:rPr>
            <w:rStyle w:val="Lienhypertexte"/>
          </w:rPr>
          <w:t>www.socialsecurity.be</w:t>
        </w:r>
      </w:hyperlink>
      <w:r w:rsidRPr="00E01024">
        <w:t> contenant:</w:t>
      </w:r>
    </w:p>
    <w:p w14:paraId="15874CA8" w14:textId="44DB7DA2" w:rsidR="00E01024" w:rsidRPr="00E01024" w:rsidRDefault="00E01024" w:rsidP="00FB69D1">
      <w:pPr>
        <w:pStyle w:val="Listecontinue"/>
      </w:pPr>
      <w:r w:rsidRPr="00E01024">
        <w:t>des informations sur tous les aspects de la sécurité sociale</w:t>
      </w:r>
      <w:r w:rsidR="00D71019">
        <w:t> ;</w:t>
      </w:r>
    </w:p>
    <w:p w14:paraId="02947B50" w14:textId="57E869A5" w:rsidR="00E01024" w:rsidRPr="00E01024" w:rsidRDefault="00E01024" w:rsidP="00FB69D1">
      <w:pPr>
        <w:pStyle w:val="Listecontinue"/>
      </w:pPr>
      <w:r w:rsidRPr="00E01024">
        <w:t>des transactions électroniques pour les citoyens, les entreprises, leurs prestataires de services et les profe</w:t>
      </w:r>
      <w:r w:rsidRPr="00E01024">
        <w:t>s</w:t>
      </w:r>
      <w:r w:rsidRPr="00E01024">
        <w:t>sionnels</w:t>
      </w:r>
      <w:r w:rsidR="00D71019">
        <w:t> ;</w:t>
      </w:r>
    </w:p>
    <w:p w14:paraId="154B5AF8" w14:textId="00998031" w:rsidR="00E01024" w:rsidRPr="00E01024" w:rsidRDefault="009E5A53" w:rsidP="00FB69D1">
      <w:pPr>
        <w:pStyle w:val="Listecontinue"/>
      </w:pPr>
      <w:r w:rsidRPr="00E01024">
        <w:t>des instructions harmonisées et une description du modèle d'information multifonctionnel utilisé</w:t>
      </w:r>
      <w:r w:rsidR="00D71019">
        <w:t> ;</w:t>
      </w:r>
    </w:p>
    <w:p w14:paraId="06EDAAB3" w14:textId="34E4CD0A" w:rsidR="00E01024" w:rsidRPr="00E01024" w:rsidRDefault="00E01024" w:rsidP="00FB69D1">
      <w:pPr>
        <w:pStyle w:val="Listecontinue"/>
      </w:pPr>
      <w:r w:rsidRPr="00E01024">
        <w:t>une page personnelle pour chaque citoyen, entreprise, prestataire de services et professionnel</w:t>
      </w:r>
      <w:r w:rsidR="00D71019">
        <w:t> ;</w:t>
      </w:r>
    </w:p>
    <w:p w14:paraId="66BA4DE5" w14:textId="489AC6E5" w:rsidR="00E01024" w:rsidRPr="00E01024" w:rsidRDefault="00E01024" w:rsidP="00FB69D1">
      <w:pPr>
        <w:pStyle w:val="Listecontinue"/>
      </w:pPr>
      <w:r w:rsidRPr="00E01024">
        <w:t>un accès à plusieurs applications mobiles (apps) pour les citoyens et les entreprises, telles que </w:t>
      </w:r>
      <w:hyperlink r:id="rId38" w:history="1">
        <w:r w:rsidRPr="00E01024">
          <w:rPr>
            <w:rStyle w:val="Lienhypertexte"/>
          </w:rPr>
          <w:t>Checkin@work</w:t>
        </w:r>
      </w:hyperlink>
      <w:r w:rsidRPr="00E01024">
        <w:t> et </w:t>
      </w:r>
      <w:hyperlink r:id="rId39" w:history="1">
        <w:r w:rsidRPr="00E01024">
          <w:rPr>
            <w:rStyle w:val="Lienhypertexte"/>
          </w:rPr>
          <w:t>Student@work</w:t>
        </w:r>
      </w:hyperlink>
      <w:r w:rsidR="00D71019">
        <w:rPr>
          <w:rStyle w:val="Lienhypertexte"/>
        </w:rPr>
        <w:t>.</w:t>
      </w:r>
    </w:p>
    <w:p w14:paraId="144B453A" w14:textId="77777777" w:rsidR="00FB69D1" w:rsidRPr="00631079" w:rsidRDefault="00FB69D1" w:rsidP="00631079">
      <w:pPr>
        <w:pStyle w:val="Corpsdetexte"/>
      </w:pPr>
    </w:p>
    <w:p w14:paraId="26AB7F4A" w14:textId="77777777" w:rsidR="00FB69D1" w:rsidRPr="00FB69D1" w:rsidRDefault="00FB69D1" w:rsidP="0089253F">
      <w:pPr>
        <w:pStyle w:val="Titre2Annexes"/>
        <w:ind w:left="0"/>
      </w:pPr>
      <w:bookmarkStart w:id="538" w:name="_Toc523327733"/>
      <w:r w:rsidRPr="00FB69D1">
        <w:lastRenderedPageBreak/>
        <w:t>Les lits halte soins santé et les lits d’accueil médicalisés</w:t>
      </w:r>
      <w:bookmarkEnd w:id="538"/>
    </w:p>
    <w:p w14:paraId="1C3EFCB9" w14:textId="77777777" w:rsidR="00FB69D1" w:rsidRPr="00FB69D1" w:rsidRDefault="00FB69D1" w:rsidP="003555DB">
      <w:pPr>
        <w:pStyle w:val="Titre6"/>
        <w:numPr>
          <w:ilvl w:val="5"/>
          <w:numId w:val="20"/>
        </w:numPr>
      </w:pPr>
      <w:r w:rsidRPr="00FB69D1">
        <w:t>Les lits halte soins santé (LHSS)</w:t>
      </w:r>
    </w:p>
    <w:p w14:paraId="3771F995" w14:textId="492964D9" w:rsidR="00FB69D1" w:rsidRPr="00FB69D1" w:rsidRDefault="00FB69D1" w:rsidP="00FB69D1">
      <w:pPr>
        <w:pStyle w:val="Corpsdetexte"/>
      </w:pPr>
      <w:r w:rsidRPr="00FB69D1">
        <w:t>Les LHSS sont destinés à des personnes majeures sans domicile fixe, sans pathologie avec prise en charge hospit</w:t>
      </w:r>
      <w:r w:rsidRPr="00FB69D1">
        <w:t>a</w:t>
      </w:r>
      <w:r w:rsidRPr="00FB69D1">
        <w:t>lière ou médico-sociale mais incompatible avec la vie à la rue. Ils dispensent des soins méd</w:t>
      </w:r>
      <w:r w:rsidRPr="00FB69D1">
        <w:t>i</w:t>
      </w:r>
      <w:r w:rsidRPr="00FB69D1">
        <w:t>caux et paramédicaux, un accompagnement social et un projet de sortie.</w:t>
      </w:r>
    </w:p>
    <w:p w14:paraId="2A80A1B2" w14:textId="5E3B3215" w:rsidR="00FB69D1" w:rsidRPr="00FB69D1" w:rsidRDefault="00D71019" w:rsidP="00FB69D1">
      <w:pPr>
        <w:pStyle w:val="Corpsdetexte"/>
      </w:pPr>
      <w:r>
        <w:t>Ils sont c</w:t>
      </w:r>
      <w:r w:rsidR="00FB69D1" w:rsidRPr="00FB69D1">
        <w:t>omposés de maximum 30 lits en chambre individuelle avec une durée de séjour de 2 mois renouvelable autant que de besoin. Ils sont ouverts 24</w:t>
      </w:r>
      <w:r w:rsidR="00152A9E">
        <w:t xml:space="preserve"> heures sur </w:t>
      </w:r>
      <w:r w:rsidR="00FB69D1" w:rsidRPr="00FB69D1">
        <w:t>24 et 365 jours</w:t>
      </w:r>
      <w:r w:rsidR="00152A9E">
        <w:t xml:space="preserve"> par </w:t>
      </w:r>
      <w:r w:rsidR="00FB69D1" w:rsidRPr="00FB69D1">
        <w:t>an, avec une mission d'hébergement, de restauration et de blanchisserie.</w:t>
      </w:r>
    </w:p>
    <w:p w14:paraId="23C7F7F7" w14:textId="77777777" w:rsidR="00FB69D1" w:rsidRPr="00FB69D1" w:rsidRDefault="00FB69D1" w:rsidP="00FB69D1">
      <w:pPr>
        <w:pStyle w:val="Corpsdetexte"/>
      </w:pPr>
      <w:r w:rsidRPr="00FB69D1">
        <w:t>Ils sont gérés par une personne morale de droit privé ou public conventionné avec des établissements assurant des soins somatiques et psychiatriques, avec une équipe pluridisciplinaire composé de médecins, infirmiers et travai</w:t>
      </w:r>
      <w:r w:rsidRPr="00FB69D1">
        <w:t>l</w:t>
      </w:r>
      <w:r w:rsidRPr="00FB69D1">
        <w:t>leurs sociaux, un directeur et du personnel administratif.</w:t>
      </w:r>
    </w:p>
    <w:p w14:paraId="49809173" w14:textId="77777777" w:rsidR="00FB69D1" w:rsidRPr="00FB69D1" w:rsidRDefault="00FB69D1" w:rsidP="00FB69D1">
      <w:pPr>
        <w:pStyle w:val="Corpsdetexte"/>
      </w:pPr>
      <w:r w:rsidRPr="00FB69D1">
        <w:t>L'accueil de l'entourage proche et des animaux accompagnants est assuré.</w:t>
      </w:r>
    </w:p>
    <w:p w14:paraId="6458D6FF" w14:textId="3B68A40E" w:rsidR="00FB69D1" w:rsidRPr="00FB69D1" w:rsidRDefault="00FB69D1" w:rsidP="00FB69D1">
      <w:pPr>
        <w:pStyle w:val="Corpsdetexte"/>
      </w:pPr>
      <w:r w:rsidRPr="00FB69D1">
        <w:t>En application du décret n° 2016-12 du 11 janvier 2016 relatif aux conditions techniques d'organisation et de fon</w:t>
      </w:r>
      <w:r w:rsidRPr="00FB69D1">
        <w:t>c</w:t>
      </w:r>
      <w:r w:rsidRPr="00FB69D1">
        <w:t>tionnement des structures dénommées LHSS et LAM, les LHSS signent une convention avec un ou plusieurs établissements de santé assurant les soins somatiques et ps</w:t>
      </w:r>
      <w:r w:rsidRPr="00FB69D1">
        <w:t>y</w:t>
      </w:r>
      <w:r w:rsidRPr="00FB69D1">
        <w:t xml:space="preserve">chiatriques. Cette convention précise les conditions de mise en œuvre des interventions des professionnels de santé de ces établissements au sein des </w:t>
      </w:r>
      <w:r w:rsidR="00D71019">
        <w:t>LHSS</w:t>
      </w:r>
      <w:r w:rsidRPr="00FB69D1">
        <w:t>. Elle i</w:t>
      </w:r>
      <w:r w:rsidRPr="00FB69D1">
        <w:t>n</w:t>
      </w:r>
      <w:r w:rsidRPr="00FB69D1">
        <w:t xml:space="preserve">dique également les modalités selon lesquelles la structure </w:t>
      </w:r>
      <w:r w:rsidR="00D71019">
        <w:t>LHSS</w:t>
      </w:r>
      <w:r w:rsidRPr="00FB69D1">
        <w:t xml:space="preserve"> peut avoir, s'il y a lieu, accès aux plateaux techniques et à la pharmacie à usage intérieur et recours à des consultations hospitalières, et à des hospitalisations pour les personnes accueillies par la structure dont l'état sanitaire l'exige, notamment dans les situations d'u</w:t>
      </w:r>
      <w:r w:rsidRPr="00FB69D1">
        <w:t>r</w:t>
      </w:r>
      <w:r w:rsidRPr="00FB69D1">
        <w:t>gence.</w:t>
      </w:r>
    </w:p>
    <w:p w14:paraId="3F3CD5E5" w14:textId="6840155B" w:rsidR="00FB69D1" w:rsidRPr="00FB69D1" w:rsidRDefault="00FB69D1" w:rsidP="00FB69D1">
      <w:pPr>
        <w:pStyle w:val="Corpsdetexte"/>
      </w:pPr>
      <w:r w:rsidRPr="00FB69D1">
        <w:t xml:space="preserve">Les structures </w:t>
      </w:r>
      <w:r w:rsidR="00D71019">
        <w:t>LHSS</w:t>
      </w:r>
      <w:r w:rsidRPr="00FB69D1">
        <w:t xml:space="preserve"> peuvent également conclure des conventions, contrats ou protocoles avec des partenaires publics ou privés afin que soient réalisés les actes ne pouvant être entrepris par ses perso</w:t>
      </w:r>
      <w:r w:rsidRPr="00FB69D1">
        <w:t>n</w:t>
      </w:r>
      <w:r w:rsidRPr="00FB69D1">
        <w:t>nels.</w:t>
      </w:r>
    </w:p>
    <w:p w14:paraId="1BE68331" w14:textId="77777777" w:rsidR="00FB69D1" w:rsidRPr="00FB69D1" w:rsidRDefault="00FB69D1" w:rsidP="00FB69D1">
      <w:pPr>
        <w:pStyle w:val="Corpsdetexte"/>
      </w:pPr>
      <w:r w:rsidRPr="00FB69D1">
        <w:t>Les soins sont coordonnés par des professionnels de santé placés sous la responsabilité du médecin responsable de la structure. Ce dernier établit le diagnostic, les prescriptions, le suivi des soins et traitements et s'assure de leur continuité. Il réalise, en lien avec les professionnels de santé, l'éducation à la santé et l'éducation thérapeutique du patient. Il effectue toute démarche contribuant à l'accès à des soins, non délivrés par l'établissement. En cas d'u</w:t>
      </w:r>
      <w:r w:rsidRPr="00FB69D1">
        <w:t>r</w:t>
      </w:r>
      <w:r w:rsidRPr="00FB69D1">
        <w:t>gence, il est fait appel au 15.</w:t>
      </w:r>
    </w:p>
    <w:p w14:paraId="7543AFD6" w14:textId="4DF5B062" w:rsidR="00FB69D1" w:rsidRPr="00FB69D1" w:rsidRDefault="00FB69D1" w:rsidP="00FB69D1">
      <w:pPr>
        <w:pStyle w:val="Corpsdetexte"/>
      </w:pPr>
      <w:r w:rsidRPr="00E65AE7">
        <w:rPr>
          <w:color w:val="auto"/>
        </w:rPr>
        <w:t xml:space="preserve">Conformément aux </w:t>
      </w:r>
      <w:r w:rsidR="00D71019" w:rsidRPr="00E65AE7">
        <w:rPr>
          <w:rStyle w:val="Lienhypertexte"/>
          <w:color w:val="auto"/>
          <w:u w:val="none"/>
        </w:rPr>
        <w:t>articles L.174-9-1 et R.174-7 du code de la sécurité sociale</w:t>
      </w:r>
      <w:r w:rsidRPr="00E65AE7">
        <w:rPr>
          <w:color w:val="auto"/>
        </w:rPr>
        <w:t xml:space="preserve"> et </w:t>
      </w:r>
      <w:r w:rsidR="00D71019" w:rsidRPr="00E65AE7">
        <w:rPr>
          <w:rStyle w:val="Lienhypertexte"/>
          <w:color w:val="auto"/>
          <w:u w:val="none"/>
        </w:rPr>
        <w:t>L.314-8 du code de l'action sociale et des familles</w:t>
      </w:r>
      <w:r w:rsidRPr="00E65AE7">
        <w:rPr>
          <w:color w:val="auto"/>
        </w:rPr>
        <w:t xml:space="preserve">, les structures </w:t>
      </w:r>
      <w:r w:rsidR="00D71019" w:rsidRPr="00E65AE7">
        <w:rPr>
          <w:color w:val="auto"/>
        </w:rPr>
        <w:t>LHSS</w:t>
      </w:r>
      <w:r w:rsidRPr="00E65AE7">
        <w:rPr>
          <w:color w:val="auto"/>
        </w:rPr>
        <w:t xml:space="preserve"> sont financées sous la forme d'une dotation globale annuelle prélevée sur l'e</w:t>
      </w:r>
      <w:r w:rsidRPr="00E65AE7">
        <w:rPr>
          <w:color w:val="auto"/>
        </w:rPr>
        <w:t>n</w:t>
      </w:r>
      <w:r w:rsidRPr="00E65AE7">
        <w:rPr>
          <w:color w:val="auto"/>
        </w:rPr>
        <w:t>veloppe inscrite à ce titre à l’</w:t>
      </w:r>
      <w:r w:rsidR="00D71019" w:rsidRPr="00E65AE7">
        <w:rPr>
          <w:color w:val="auto"/>
        </w:rPr>
        <w:t>objectif national de dépenses d'assurance maladie (ONDAM)</w:t>
      </w:r>
      <w:r w:rsidRPr="00E65AE7">
        <w:rPr>
          <w:color w:val="auto"/>
        </w:rPr>
        <w:t xml:space="preserve">. Cette dotation couvre les soins, l'accueil, l'hébergement, </w:t>
      </w:r>
      <w:r w:rsidRPr="00FB69D1">
        <w:t>la restauration, et le suivi social des personnes accueillies.</w:t>
      </w:r>
      <w:r>
        <w:t xml:space="preserve"> </w:t>
      </w:r>
      <w:r w:rsidRPr="00FB69D1">
        <w:t>« Les consultations et soins prescrits par le médecin responsable ne pouvant être dispensés dans la structure ne sont pas couverts par la dotation globale, à l'exception de la participation restant éventuell</w:t>
      </w:r>
      <w:r w:rsidRPr="00FB69D1">
        <w:t>e</w:t>
      </w:r>
      <w:r w:rsidRPr="00FB69D1">
        <w:t>ment à la charge de la personne accueillie. »</w:t>
      </w:r>
    </w:p>
    <w:p w14:paraId="447F3FE8" w14:textId="77777777" w:rsidR="00FB69D1" w:rsidRPr="00FB69D1" w:rsidRDefault="00FB69D1" w:rsidP="00FB69D1">
      <w:pPr>
        <w:pStyle w:val="Titre6"/>
      </w:pPr>
      <w:r w:rsidRPr="00FB69D1">
        <w:t>Les lits d’accueil médicalisés (LAM)</w:t>
      </w:r>
    </w:p>
    <w:p w14:paraId="60C3738E" w14:textId="74EC82F8" w:rsidR="00FB69D1" w:rsidRPr="00FB69D1" w:rsidRDefault="00FB69D1" w:rsidP="00FB69D1">
      <w:pPr>
        <w:pStyle w:val="Corpsdetexte"/>
      </w:pPr>
      <w:r w:rsidRPr="00FB69D1">
        <w:t>Les LAM sont destinés à des personnes majeures sans domicile fixe, avec une pathologie lourde et chronique irr</w:t>
      </w:r>
      <w:r w:rsidRPr="00FB69D1">
        <w:t>é</w:t>
      </w:r>
      <w:r w:rsidRPr="00FB69D1">
        <w:t>versible pouvant engendrer une perte d'autonomie. La durée du séjour n'est pas limitée. Elle est adaptée à la situation sanitaire et sociale de la personne et permet la construction de son projet de vie.</w:t>
      </w:r>
    </w:p>
    <w:p w14:paraId="45350B57" w14:textId="52D85035" w:rsidR="00FB69D1" w:rsidRPr="00FB69D1" w:rsidRDefault="00FB69D1" w:rsidP="00FB69D1">
      <w:pPr>
        <w:pStyle w:val="Corpsdetexte"/>
      </w:pPr>
      <w:r w:rsidRPr="00FB69D1">
        <w:t>Ils sont ouverts 24</w:t>
      </w:r>
      <w:r w:rsidR="00152A9E">
        <w:t xml:space="preserve"> </w:t>
      </w:r>
      <w:r w:rsidRPr="00FB69D1">
        <w:t>h</w:t>
      </w:r>
      <w:r w:rsidR="00152A9E">
        <w:t xml:space="preserve">eures sur </w:t>
      </w:r>
      <w:r w:rsidRPr="00FB69D1">
        <w:t>24 et 365 jours</w:t>
      </w:r>
      <w:r w:rsidR="00152A9E">
        <w:t xml:space="preserve"> par </w:t>
      </w:r>
      <w:r w:rsidRPr="00FB69D1">
        <w:t>an, avec une mission d'hébergement, de restauration et de bla</w:t>
      </w:r>
      <w:r w:rsidRPr="00FB69D1">
        <w:t>n</w:t>
      </w:r>
      <w:r w:rsidRPr="00FB69D1">
        <w:t>chisserie.</w:t>
      </w:r>
    </w:p>
    <w:p w14:paraId="1F00F302" w14:textId="77777777" w:rsidR="00FB69D1" w:rsidRPr="00FB69D1" w:rsidRDefault="00FB69D1" w:rsidP="00FB69D1">
      <w:pPr>
        <w:pStyle w:val="Corpsdetexte"/>
      </w:pPr>
      <w:r w:rsidRPr="00FB69D1">
        <w:t>Ils dispensent des soins médicaux et paramédicaux, une aide à la vie quotidienne adaptée, un accompagnement social et un projet de vie.</w:t>
      </w:r>
    </w:p>
    <w:p w14:paraId="02774482" w14:textId="77777777" w:rsidR="00FB69D1" w:rsidRPr="00FB69D1" w:rsidRDefault="00FB69D1" w:rsidP="00FB69D1">
      <w:pPr>
        <w:pStyle w:val="Corpsdetexte"/>
      </w:pPr>
      <w:r w:rsidRPr="00FB69D1">
        <w:lastRenderedPageBreak/>
        <w:t>Ils sont gérés par une personne morale de droit privé ou public conventionné avec des établissements assurant des soins somatiques et psychiatriques.</w:t>
      </w:r>
    </w:p>
    <w:p w14:paraId="348BEC38" w14:textId="3A24C726" w:rsidR="00FB69D1" w:rsidRPr="00FB69D1" w:rsidRDefault="00FB69D1" w:rsidP="00FB69D1">
      <w:pPr>
        <w:pStyle w:val="Corpsdetexte"/>
      </w:pPr>
      <w:r w:rsidRPr="00FB69D1">
        <w:t xml:space="preserve">Ils bénéficient d’une équipe pluridisciplinaire composé de médecins, </w:t>
      </w:r>
      <w:r w:rsidR="00D71019">
        <w:t>d’</w:t>
      </w:r>
      <w:r w:rsidRPr="00FB69D1">
        <w:t>infirmiers présent</w:t>
      </w:r>
      <w:r w:rsidR="00D71019">
        <w:t>s</w:t>
      </w:r>
      <w:r w:rsidRPr="00FB69D1">
        <w:t xml:space="preserve"> 24</w:t>
      </w:r>
      <w:r w:rsidR="00E65AE7">
        <w:t>h</w:t>
      </w:r>
      <w:r w:rsidR="00152A9E">
        <w:t xml:space="preserve">eures sur </w:t>
      </w:r>
      <w:r w:rsidRPr="00FB69D1">
        <w:t xml:space="preserve">24, d'aides-soignants et d'auxiliaires de vie sociale, </w:t>
      </w:r>
      <w:r w:rsidR="00D71019">
        <w:t>d’</w:t>
      </w:r>
      <w:r w:rsidRPr="00FB69D1">
        <w:t>un directeur et d</w:t>
      </w:r>
      <w:r w:rsidR="00D71019">
        <w:t>e</w:t>
      </w:r>
      <w:r w:rsidRPr="00FB69D1">
        <w:t xml:space="preserve"> personnel administratif</w:t>
      </w:r>
      <w:r w:rsidR="00D71019">
        <w:t>. Ils</w:t>
      </w:r>
      <w:r w:rsidR="0060381A">
        <w:t xml:space="preserve"> proposent </w:t>
      </w:r>
      <w:r w:rsidRPr="00FB69D1">
        <w:t>de 15 à 25 lits en chambre individuelle (</w:t>
      </w:r>
      <w:r w:rsidR="0060381A">
        <w:t>si le nombre de lits est inférieur à 18, dans la même structure que les LHSS)</w:t>
      </w:r>
      <w:r w:rsidRPr="00FB69D1">
        <w:t>, sans durée lim</w:t>
      </w:r>
      <w:r w:rsidRPr="00FB69D1">
        <w:t>i</w:t>
      </w:r>
      <w:r w:rsidRPr="00FB69D1">
        <w:t xml:space="preserve">tée de séjour. </w:t>
      </w:r>
    </w:p>
    <w:p w14:paraId="76F1F4A3" w14:textId="77777777" w:rsidR="00FB69D1" w:rsidRPr="00FB69D1" w:rsidRDefault="00FB69D1" w:rsidP="00FB69D1">
      <w:pPr>
        <w:pStyle w:val="Corpsdetexte"/>
      </w:pPr>
      <w:r w:rsidRPr="00FB69D1">
        <w:t>L'accueil de l'entourage proche et des animaux accompagnants est assuré.</w:t>
      </w:r>
    </w:p>
    <w:p w14:paraId="3B430F52" w14:textId="7A18550C" w:rsidR="00FB69D1" w:rsidRPr="00FB69D1" w:rsidRDefault="00FB69D1" w:rsidP="00FB69D1">
      <w:pPr>
        <w:pStyle w:val="Corpsdetexte"/>
      </w:pPr>
      <w:r w:rsidRPr="00FB69D1">
        <w:t xml:space="preserve">Les structures </w:t>
      </w:r>
      <w:r w:rsidR="0060381A">
        <w:t xml:space="preserve">LAM </w:t>
      </w:r>
      <w:r w:rsidRPr="00FB69D1">
        <w:t>signent une convention avec un ou plusieurs établissements de santé assurant les soins som</w:t>
      </w:r>
      <w:r w:rsidRPr="00FB69D1">
        <w:t>a</w:t>
      </w:r>
      <w:r w:rsidRPr="00FB69D1">
        <w:t xml:space="preserve">tiques et psychiatriques. Cette convention précise les conditions de mise en œuvre des interventions des professionnels de santé de ces établissements au sein des </w:t>
      </w:r>
      <w:r w:rsidR="0060381A">
        <w:t>LAM</w:t>
      </w:r>
      <w:r w:rsidRPr="00FB69D1">
        <w:t>. Elle indique également les modalités selon le</w:t>
      </w:r>
      <w:r w:rsidRPr="00FB69D1">
        <w:t>s</w:t>
      </w:r>
      <w:r w:rsidRPr="00FB69D1">
        <w:t>quelles ces structures peuvent avoir, s'il y a lieu, accès aux plateaux techniques et à la pharmacie à usage intérieur et recours à des consultations hospitalières, à des hospitalisations pour des personnes accueillies dans la structure dont l'état sanitaire l'exige, notamment dans les situations d'u</w:t>
      </w:r>
      <w:r w:rsidRPr="00FB69D1">
        <w:t>r</w:t>
      </w:r>
      <w:r w:rsidRPr="00FB69D1">
        <w:t>gence.</w:t>
      </w:r>
    </w:p>
    <w:p w14:paraId="16AF8B3E" w14:textId="1283AA0B" w:rsidR="00FB69D1" w:rsidRPr="00FB69D1" w:rsidRDefault="00FB69D1" w:rsidP="00FB69D1">
      <w:pPr>
        <w:pStyle w:val="Corpsdetexte"/>
      </w:pPr>
      <w:r w:rsidRPr="00FB69D1">
        <w:t xml:space="preserve">Les structures </w:t>
      </w:r>
      <w:r w:rsidR="0060381A">
        <w:t>LAM</w:t>
      </w:r>
      <w:r w:rsidRPr="00FB69D1">
        <w:t xml:space="preserve"> peuvent également conclure des conventions, contrats ou protocoles avec des partenaires publics ou privés afin que soient réalisés les actes ne pouvant être entrepris par ses perso</w:t>
      </w:r>
      <w:r w:rsidRPr="00FB69D1">
        <w:t>n</w:t>
      </w:r>
      <w:r w:rsidRPr="00FB69D1">
        <w:t>nels.</w:t>
      </w:r>
    </w:p>
    <w:p w14:paraId="677D83D1" w14:textId="7B2266EA" w:rsidR="00FB69D1" w:rsidRPr="00E65AE7" w:rsidRDefault="00FB69D1" w:rsidP="00FB69D1">
      <w:pPr>
        <w:pStyle w:val="Corpsdetexte"/>
        <w:rPr>
          <w:color w:val="auto"/>
        </w:rPr>
      </w:pPr>
      <w:r w:rsidRPr="00FB69D1">
        <w:t>Dans les conditions prévues aux artic</w:t>
      </w:r>
      <w:r w:rsidRPr="00E65AE7">
        <w:rPr>
          <w:color w:val="auto"/>
        </w:rPr>
        <w:t xml:space="preserve">les </w:t>
      </w:r>
      <w:r w:rsidR="0060381A" w:rsidRPr="00E65AE7">
        <w:rPr>
          <w:rStyle w:val="Lienhypertexte"/>
          <w:color w:val="auto"/>
          <w:u w:val="none"/>
        </w:rPr>
        <w:t>R.6121-4-1</w:t>
      </w:r>
      <w:r w:rsidRPr="00E65AE7">
        <w:rPr>
          <w:color w:val="auto"/>
        </w:rPr>
        <w:t xml:space="preserve"> et </w:t>
      </w:r>
      <w:r w:rsidR="0060381A" w:rsidRPr="00E65AE7">
        <w:rPr>
          <w:rStyle w:val="Lienhypertexte"/>
          <w:color w:val="auto"/>
          <w:u w:val="none"/>
        </w:rPr>
        <w:t>D.6124-311</w:t>
      </w:r>
      <w:r w:rsidRPr="00E65AE7">
        <w:rPr>
          <w:color w:val="auto"/>
        </w:rPr>
        <w:t xml:space="preserve"> du code de la santé p</w:t>
      </w:r>
      <w:r w:rsidRPr="00E65AE7">
        <w:rPr>
          <w:color w:val="auto"/>
        </w:rPr>
        <w:t>u</w:t>
      </w:r>
      <w:r w:rsidRPr="00E65AE7">
        <w:rPr>
          <w:color w:val="auto"/>
        </w:rPr>
        <w:t>blique, une convention peut être conclue avec une structure d'hospitalisation à domicile afin de répondre aux besoins sanitaires d'un p</w:t>
      </w:r>
      <w:r w:rsidRPr="00E65AE7">
        <w:rPr>
          <w:color w:val="auto"/>
        </w:rPr>
        <w:t>a</w:t>
      </w:r>
      <w:r w:rsidRPr="00E65AE7">
        <w:rPr>
          <w:color w:val="auto"/>
        </w:rPr>
        <w:t xml:space="preserve">tient tout en le maintenant en </w:t>
      </w:r>
      <w:r w:rsidR="0060381A" w:rsidRPr="00E65AE7">
        <w:rPr>
          <w:color w:val="auto"/>
        </w:rPr>
        <w:t>LAM</w:t>
      </w:r>
      <w:r w:rsidR="0060381A" w:rsidRPr="00E65AE7" w:rsidDel="0060381A">
        <w:rPr>
          <w:color w:val="auto"/>
        </w:rPr>
        <w:t xml:space="preserve"> </w:t>
      </w:r>
      <w:r w:rsidRPr="00E65AE7">
        <w:rPr>
          <w:color w:val="auto"/>
        </w:rPr>
        <w:t>.</w:t>
      </w:r>
    </w:p>
    <w:p w14:paraId="5536CEE7" w14:textId="77777777" w:rsidR="00FB69D1" w:rsidRPr="00E65AE7" w:rsidRDefault="00FB69D1" w:rsidP="00FB69D1">
      <w:pPr>
        <w:pStyle w:val="Corpsdetexte"/>
        <w:rPr>
          <w:color w:val="auto"/>
        </w:rPr>
      </w:pPr>
      <w:r w:rsidRPr="00E65AE7">
        <w:rPr>
          <w:color w:val="auto"/>
        </w:rPr>
        <w:t>Les soins sont coordonnés par des personnels de santé placés sous la responsabilité du médecin responsable de la structure. Ce dernier établit le diagnostic, les prescriptions, le suivi des soins, des traitements et s'assure de leur continuité. Il réalise, en lien avec les professionnels de santé, l'éducation à la santé et l'éducation thérapeutique du patient. Il effectue toute démarche contribuant à l'accès à des soins, non délivrés par l'établissement. Il peut, si la personne le souhaite, être désigné comme le médecin traitant de celle-ci. En cas d'urgence, il fait appel au 15.</w:t>
      </w:r>
    </w:p>
    <w:p w14:paraId="32AC55ED" w14:textId="71D31AB6" w:rsidR="00FB69D1" w:rsidRPr="00E65AE7" w:rsidRDefault="00FB69D1" w:rsidP="00FB69D1">
      <w:pPr>
        <w:pStyle w:val="Corpsdetexte"/>
        <w:rPr>
          <w:color w:val="auto"/>
        </w:rPr>
      </w:pPr>
      <w:r w:rsidRPr="00E65AE7">
        <w:rPr>
          <w:color w:val="auto"/>
        </w:rPr>
        <w:t>Un accompagnement social adapté est réalisé sous la responsabilité du directeur de la structure. Il doit s'attacher à faire émerger, à construire, à réaliser voire à faire évoluer le projet de vie de la personne. Ce suivi doit se faire en continuité avec les démarches réalisées par les référents sociaux antérieurs à l'admission dans la stru</w:t>
      </w:r>
      <w:r w:rsidRPr="00E65AE7">
        <w:rPr>
          <w:color w:val="auto"/>
        </w:rPr>
        <w:t>c</w:t>
      </w:r>
      <w:r w:rsidRPr="00E65AE7">
        <w:rPr>
          <w:color w:val="auto"/>
        </w:rPr>
        <w:t>ture.</w:t>
      </w:r>
    </w:p>
    <w:p w14:paraId="741916D1" w14:textId="116EFAC8" w:rsidR="00B666E1" w:rsidRDefault="00FB69D1" w:rsidP="00FB69D1">
      <w:pPr>
        <w:pStyle w:val="Corpsdetexte"/>
        <w:rPr>
          <w:color w:val="auto"/>
        </w:rPr>
      </w:pPr>
      <w:r w:rsidRPr="00E65AE7">
        <w:rPr>
          <w:color w:val="auto"/>
        </w:rPr>
        <w:t xml:space="preserve">L'orientation vers les structures </w:t>
      </w:r>
      <w:r w:rsidR="0060381A" w:rsidRPr="00E65AE7">
        <w:rPr>
          <w:color w:val="auto"/>
        </w:rPr>
        <w:t xml:space="preserve">LAM </w:t>
      </w:r>
      <w:r w:rsidRPr="00E65AE7">
        <w:rPr>
          <w:color w:val="auto"/>
        </w:rPr>
        <w:t>est réalisée par un médecin au regard de la situ</w:t>
      </w:r>
      <w:r w:rsidRPr="00E65AE7">
        <w:rPr>
          <w:color w:val="auto"/>
        </w:rPr>
        <w:t>a</w:t>
      </w:r>
      <w:r w:rsidRPr="00E65AE7">
        <w:rPr>
          <w:color w:val="auto"/>
        </w:rPr>
        <w:t>tion sanitaire de la personne et</w:t>
      </w:r>
      <w:r w:rsidR="00B666E1">
        <w:rPr>
          <w:color w:val="auto"/>
        </w:rPr>
        <w:t xml:space="preserve"> </w:t>
      </w:r>
      <w:r w:rsidRPr="00E65AE7">
        <w:rPr>
          <w:color w:val="auto"/>
        </w:rPr>
        <w:t>suite à une évaluation de sa situation sociale par un travailleur social.</w:t>
      </w:r>
    </w:p>
    <w:p w14:paraId="18692F0E" w14:textId="6997853F" w:rsidR="00FB69D1" w:rsidRPr="00E65AE7" w:rsidRDefault="00FB69D1" w:rsidP="00FB69D1">
      <w:pPr>
        <w:pStyle w:val="Corpsdetexte"/>
        <w:rPr>
          <w:color w:val="auto"/>
        </w:rPr>
      </w:pPr>
      <w:r w:rsidRPr="00E65AE7">
        <w:rPr>
          <w:color w:val="auto"/>
        </w:rPr>
        <w:t>L'admission est prononcée, sur demande de la personne accueillie, par le directeur de la structure, après avis fav</w:t>
      </w:r>
      <w:r w:rsidRPr="00E65AE7">
        <w:rPr>
          <w:color w:val="auto"/>
        </w:rPr>
        <w:t>o</w:t>
      </w:r>
      <w:r w:rsidRPr="00E65AE7">
        <w:rPr>
          <w:color w:val="auto"/>
        </w:rPr>
        <w:t>rable du médecin responsable de la structure. Le refus d'admission prononcé par le directeur est motivé.</w:t>
      </w:r>
    </w:p>
    <w:p w14:paraId="163EEA48" w14:textId="1A4B8698" w:rsidR="00FB69D1" w:rsidRPr="00FB69D1" w:rsidRDefault="00FB69D1" w:rsidP="00FB69D1">
      <w:pPr>
        <w:pStyle w:val="Corpsdetexte"/>
      </w:pPr>
      <w:r w:rsidRPr="00E65AE7">
        <w:rPr>
          <w:color w:val="auto"/>
        </w:rPr>
        <w:t>Conformément à l'</w:t>
      </w:r>
      <w:r w:rsidR="0060381A" w:rsidRPr="00E65AE7">
        <w:rPr>
          <w:rStyle w:val="Lienhypertexte"/>
          <w:color w:val="auto"/>
          <w:u w:val="none"/>
        </w:rPr>
        <w:t>article L.174-9-1 du code de la sécurité sociale</w:t>
      </w:r>
      <w:r w:rsidRPr="00E65AE7">
        <w:rPr>
          <w:color w:val="auto"/>
        </w:rPr>
        <w:t xml:space="preserve">, les </w:t>
      </w:r>
      <w:r w:rsidR="0060381A">
        <w:t xml:space="preserve">LAM </w:t>
      </w:r>
      <w:r w:rsidRPr="00FB69D1">
        <w:t>sont financés sous la forme d'une dot</w:t>
      </w:r>
      <w:r w:rsidRPr="00FB69D1">
        <w:t>a</w:t>
      </w:r>
      <w:r w:rsidRPr="00FB69D1">
        <w:t>tion globale annuelle prélevée sur l'enveloppe inscrite à ce titre à l’</w:t>
      </w:r>
      <w:r w:rsidR="0060381A">
        <w:t>ONDAM</w:t>
      </w:r>
      <w:r w:rsidRPr="00FB69D1">
        <w:t>.Cette dotation couvre l'accueil, l'hébergement, la restauration, le suivi social, l'accompagnement à la vie quot</w:t>
      </w:r>
      <w:r w:rsidRPr="00FB69D1">
        <w:t>i</w:t>
      </w:r>
      <w:r w:rsidRPr="00FB69D1">
        <w:t>dienne, l'animation et les soins des personnes accueillies.</w:t>
      </w:r>
    </w:p>
    <w:p w14:paraId="06AE767F" w14:textId="77777777" w:rsidR="00FB69D1" w:rsidRPr="00FB69D1" w:rsidRDefault="00FB69D1" w:rsidP="00FB69D1">
      <w:pPr>
        <w:pStyle w:val="Corpsdetexte"/>
      </w:pPr>
      <w:r w:rsidRPr="00FB69D1">
        <w:t>Les consultations et soins prescrits par le médecin responsable ne pouvant être dispensés dans la structure ne sont pas couverts par la dotation globale, à l'exception de la participation restant éventuellement à la charge de la pe</w:t>
      </w:r>
      <w:r w:rsidRPr="00FB69D1">
        <w:t>r</w:t>
      </w:r>
      <w:r w:rsidRPr="00FB69D1">
        <w:t>sonne accueillie.</w:t>
      </w:r>
    </w:p>
    <w:p w14:paraId="6E048B4C" w14:textId="5E77483D" w:rsidR="00FB69D1" w:rsidRPr="00FB69D1" w:rsidRDefault="00FB69D1" w:rsidP="00FB69D1">
      <w:pPr>
        <w:pStyle w:val="Corpsdetexte"/>
      </w:pPr>
      <w:r w:rsidRPr="00FB69D1">
        <w:t xml:space="preserve">Une participation financière à l'hébergement peut être demandée à la personne accueillie. Cette participation est liée à l'existence de ressources de la personne accueillie et ne peut excéder 25% de celles-ci. </w:t>
      </w:r>
    </w:p>
    <w:p w14:paraId="3F60E669" w14:textId="77777777" w:rsidR="00FB69D1" w:rsidRPr="00FB69D1" w:rsidRDefault="00FB69D1" w:rsidP="00FB69D1">
      <w:pPr>
        <w:pStyle w:val="Corpsdetexte"/>
      </w:pPr>
    </w:p>
    <w:p w14:paraId="16C0ECD0" w14:textId="77777777" w:rsidR="00FB69D1" w:rsidRPr="00FB69D1" w:rsidRDefault="00FB69D1" w:rsidP="0089253F">
      <w:pPr>
        <w:pStyle w:val="Titre2Annexes"/>
        <w:ind w:left="0"/>
      </w:pPr>
      <w:bookmarkStart w:id="539" w:name="_Toc523327734"/>
      <w:r w:rsidRPr="00FB69D1">
        <w:lastRenderedPageBreak/>
        <w:t>Résultats de l’enquête « Handisfaction » de l’association Handidactique concernant le refus de soins</w:t>
      </w:r>
      <w:bookmarkEnd w:id="539"/>
    </w:p>
    <w:p w14:paraId="02499D4A" w14:textId="77777777" w:rsidR="00FB69D1" w:rsidRPr="00FB69D1" w:rsidRDefault="00FB69D1" w:rsidP="00FB69D1">
      <w:pPr>
        <w:pStyle w:val="Corpsdetexte"/>
      </w:pPr>
      <w:r w:rsidRPr="00FB69D1">
        <w:t>L’enquête menée par Handidactique a eu lieu entre le 10 novembre 2015 et le 10 janvier 2018. Elle repose sur la participation volontaire des personnes handicapées soignées. Il ne s’agit pas d’une enquête scientifique mais d’un sondage recueilli dans des lieux publics et des lieux de soins fréquentés par les personnes handicapées.</w:t>
      </w:r>
    </w:p>
    <w:p w14:paraId="5D23DC6C" w14:textId="77777777" w:rsidR="00FB69D1" w:rsidRPr="00FB69D1" w:rsidRDefault="00FB69D1" w:rsidP="00FB69D1">
      <w:pPr>
        <w:pStyle w:val="Corpsdetexte"/>
      </w:pPr>
      <w:r w:rsidRPr="00FB69D1">
        <w:t>S’agissant des refus de soins, les résultats sont les suivants </w:t>
      </w:r>
    </w:p>
    <w:p w14:paraId="43CC1273" w14:textId="77777777" w:rsidR="00FB69D1" w:rsidRPr="00FB69D1" w:rsidRDefault="00FB69D1" w:rsidP="00FB69D1">
      <w:pPr>
        <w:pStyle w:val="Corpsdetexte"/>
      </w:pPr>
      <w:r w:rsidRPr="00FB69D1">
        <w:rPr>
          <w:noProof/>
          <w:lang w:eastAsia="fr-FR"/>
        </w:rPr>
        <w:drawing>
          <wp:inline distT="0" distB="0" distL="0" distR="0" wp14:anchorId="6EB9E065" wp14:editId="6BE26F56">
            <wp:extent cx="2788627" cy="167640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7323" cy="1687639"/>
                    </a:xfrm>
                    <a:prstGeom prst="rect">
                      <a:avLst/>
                    </a:prstGeom>
                  </pic:spPr>
                </pic:pic>
              </a:graphicData>
            </a:graphic>
          </wp:inline>
        </w:drawing>
      </w:r>
    </w:p>
    <w:p w14:paraId="06EC8FE3" w14:textId="77777777" w:rsidR="00FB69D1" w:rsidRPr="00FB69D1" w:rsidRDefault="00FB69D1" w:rsidP="00FB69D1">
      <w:pPr>
        <w:pStyle w:val="Corpsdetexte"/>
      </w:pPr>
    </w:p>
    <w:p w14:paraId="3C589D3B" w14:textId="77777777" w:rsidR="00FB69D1" w:rsidRPr="00FB69D1" w:rsidRDefault="00FB69D1" w:rsidP="00FB69D1">
      <w:pPr>
        <w:pStyle w:val="Corpsdetexte"/>
      </w:pPr>
      <w:r w:rsidRPr="00FB69D1">
        <w:t>Les refus de soins, selon les déclarants, ont eu lieu dans les proportions suivantes :</w:t>
      </w:r>
    </w:p>
    <w:p w14:paraId="2E94A8E4" w14:textId="77777777" w:rsidR="00FB69D1" w:rsidRPr="00FB69D1" w:rsidRDefault="00FB69D1" w:rsidP="00FB69D1">
      <w:pPr>
        <w:pStyle w:val="Corpsdetexte"/>
        <w:sectPr w:rsidR="00FB69D1" w:rsidRPr="00FB69D1" w:rsidSect="003555DB">
          <w:footerReference w:type="default" r:id="rId41"/>
          <w:headerReference w:type="first" r:id="rId42"/>
          <w:type w:val="continuous"/>
          <w:pgSz w:w="11907" w:h="16840" w:code="9"/>
          <w:pgMar w:top="2302" w:right="1264" w:bottom="1077" w:left="1264" w:header="709" w:footer="284" w:gutter="0"/>
          <w:cols w:space="708"/>
          <w:docGrid w:linePitch="360"/>
        </w:sectPr>
      </w:pPr>
    </w:p>
    <w:p w14:paraId="181FFF1C" w14:textId="77777777" w:rsidR="00FB69D1" w:rsidRPr="00FB69D1" w:rsidRDefault="00FB69D1" w:rsidP="00FB69D1">
      <w:pPr>
        <w:pStyle w:val="Corpsdetexte"/>
      </w:pPr>
      <w:r w:rsidRPr="00FB69D1">
        <w:rPr>
          <w:noProof/>
          <w:lang w:eastAsia="fr-FR"/>
        </w:rPr>
        <w:lastRenderedPageBreak/>
        <w:drawing>
          <wp:inline distT="0" distB="0" distL="0" distR="0" wp14:anchorId="68D61EC4" wp14:editId="79672E06">
            <wp:extent cx="2866227" cy="1722120"/>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7440" cy="1728857"/>
                    </a:xfrm>
                    <a:prstGeom prst="rect">
                      <a:avLst/>
                    </a:prstGeom>
                  </pic:spPr>
                </pic:pic>
              </a:graphicData>
            </a:graphic>
          </wp:inline>
        </w:drawing>
      </w:r>
    </w:p>
    <w:p w14:paraId="1E8A8534" w14:textId="77777777" w:rsidR="00FB69D1" w:rsidRPr="00FB69D1" w:rsidRDefault="00FB69D1" w:rsidP="00FB69D1">
      <w:pPr>
        <w:pStyle w:val="Corpsdetexte"/>
        <w:sectPr w:rsidR="00FB69D1" w:rsidRPr="00FB69D1" w:rsidSect="00FC6A89">
          <w:type w:val="continuous"/>
          <w:pgSz w:w="11907" w:h="16840" w:code="9"/>
          <w:pgMar w:top="2302" w:right="1264" w:bottom="1077" w:left="1264" w:header="709" w:footer="284" w:gutter="0"/>
          <w:cols w:num="2" w:space="708"/>
          <w:docGrid w:linePitch="360"/>
        </w:sectPr>
      </w:pPr>
      <w:r w:rsidRPr="00FB69D1">
        <w:rPr>
          <w:noProof/>
          <w:lang w:eastAsia="fr-FR"/>
        </w:rPr>
        <w:lastRenderedPageBreak/>
        <w:drawing>
          <wp:inline distT="0" distB="0" distL="0" distR="0" wp14:anchorId="065DA0CE" wp14:editId="50EEC5CB">
            <wp:extent cx="2892387" cy="1737360"/>
            <wp:effectExtent l="0" t="0" r="381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96714" cy="1739959"/>
                    </a:xfrm>
                    <a:prstGeom prst="rect">
                      <a:avLst/>
                    </a:prstGeom>
                  </pic:spPr>
                </pic:pic>
              </a:graphicData>
            </a:graphic>
          </wp:inline>
        </w:drawing>
      </w:r>
    </w:p>
    <w:p w14:paraId="4324DFED" w14:textId="2B090E9A" w:rsidR="00FB69D1" w:rsidRPr="00FB69D1" w:rsidRDefault="00FB69D1" w:rsidP="00FB69D1">
      <w:pPr>
        <w:pStyle w:val="Corpsdetexte"/>
      </w:pPr>
      <w:r w:rsidRPr="00FB69D1">
        <w:lastRenderedPageBreak/>
        <w:t xml:space="preserve">Il ressort de ces chiffres - sous toutes les réserves que suppose la méthode utilisée - que la difficulté principale se concentre sur l’accès à un spécialiste en médecine de ville. Mais les difficultés d’accès à un généraliste n’en sont pas moins significatives, sous réserve d’en explorer plus précisément la nature (déserts médicaux, généralistes n’accueillant plus de patientèle nouvelle, autres motifs). </w:t>
      </w:r>
    </w:p>
    <w:p w14:paraId="78AF5E3C" w14:textId="7442E34E" w:rsidR="00FB69D1" w:rsidRPr="00FB69D1" w:rsidRDefault="00FB69D1" w:rsidP="00FB69D1">
      <w:pPr>
        <w:pStyle w:val="Corpsdetexte"/>
      </w:pPr>
      <w:r w:rsidRPr="00FB69D1">
        <w:t>Il parait également significatif que dans une période où la HAD est de plus en plus préconisée et développée pour des patients difficilement mobiles, le taux de refus soit aussi important. Les refus de déplacements à domicile sont inquiétants car ils seraient également plus adaptés à la situation. Mais ils sont sans doute liés au manque de m</w:t>
      </w:r>
      <w:r w:rsidRPr="00FB69D1">
        <w:t>é</w:t>
      </w:r>
      <w:r w:rsidRPr="00FB69D1">
        <w:t>decins généralistes</w:t>
      </w:r>
      <w:r w:rsidR="0060381A">
        <w:t>.</w:t>
      </w:r>
      <w:r w:rsidRPr="00FB69D1">
        <w:t xml:space="preserve"> </w:t>
      </w:r>
    </w:p>
    <w:p w14:paraId="7ABF2D83" w14:textId="77777777" w:rsidR="00FB69D1" w:rsidRPr="00FB69D1" w:rsidRDefault="00FB69D1" w:rsidP="00FB69D1">
      <w:pPr>
        <w:pStyle w:val="Corpsdetexte"/>
      </w:pPr>
      <w:r w:rsidRPr="00FB69D1">
        <w:t>Ces deux constats interrogent sur les déterminants du refus : temps de trajets parfois importants, s’ajoutant au temps de consultation, manque de disponibilité du matériel, de personnels paramédicaux, de services permettant un suivi à distance ? L’hôpital reste en tout état de cause clairement le dernier recours pour ne pas être refusé, même si des cas de refus de soins y sont également indiqués.</w:t>
      </w:r>
    </w:p>
    <w:p w14:paraId="45841962" w14:textId="77777777" w:rsidR="00877B60" w:rsidRPr="00F65812" w:rsidRDefault="00877B60" w:rsidP="00F65812">
      <w:pPr>
        <w:pStyle w:val="Corpsdetexte"/>
      </w:pPr>
    </w:p>
    <w:p w14:paraId="77CEA302" w14:textId="77777777" w:rsidR="00877B60" w:rsidRPr="00F65812" w:rsidRDefault="00877B60" w:rsidP="00F65812">
      <w:pPr>
        <w:pStyle w:val="Corpsdetexte"/>
      </w:pPr>
    </w:p>
    <w:p w14:paraId="4D507ED5" w14:textId="77777777" w:rsidR="00877B60" w:rsidRPr="00F65812" w:rsidRDefault="00877B60" w:rsidP="00F65812">
      <w:pPr>
        <w:pStyle w:val="Corpsdetexte"/>
      </w:pPr>
    </w:p>
    <w:p w14:paraId="241E9C01" w14:textId="77777777" w:rsidR="00877B60" w:rsidRPr="00F65812" w:rsidRDefault="00877B60" w:rsidP="00F65812">
      <w:pPr>
        <w:pStyle w:val="Corpsdetexte"/>
      </w:pPr>
    </w:p>
    <w:p w14:paraId="4553980C" w14:textId="77777777" w:rsidR="00877B60" w:rsidRPr="00F65812" w:rsidRDefault="00877B60" w:rsidP="00F65812">
      <w:pPr>
        <w:pStyle w:val="Corpsdetexte"/>
      </w:pPr>
    </w:p>
    <w:p w14:paraId="32FCDB5A" w14:textId="77777777" w:rsidR="00877B60" w:rsidRPr="00F65812" w:rsidRDefault="00877B60" w:rsidP="00F65812">
      <w:pPr>
        <w:pStyle w:val="Corpsdetexte"/>
      </w:pPr>
    </w:p>
    <w:p w14:paraId="2977E11E" w14:textId="77777777" w:rsidR="00877B60" w:rsidRPr="00F65812" w:rsidRDefault="00877B60" w:rsidP="00F65812">
      <w:pPr>
        <w:pStyle w:val="Corpsdetexte"/>
      </w:pPr>
    </w:p>
    <w:p w14:paraId="7703F212" w14:textId="77777777" w:rsidR="00877B60" w:rsidRPr="00F65812" w:rsidRDefault="00877B60" w:rsidP="00F65812">
      <w:pPr>
        <w:pStyle w:val="Corpsdetexte"/>
      </w:pPr>
    </w:p>
    <w:p w14:paraId="6D6A82E4" w14:textId="77777777" w:rsidR="00877B60" w:rsidRPr="00F65812" w:rsidRDefault="00877B60" w:rsidP="00F65812">
      <w:pPr>
        <w:pStyle w:val="Corpsdetexte"/>
      </w:pPr>
    </w:p>
    <w:p w14:paraId="2A2C4377" w14:textId="77777777" w:rsidR="0075766E" w:rsidRPr="00F65812" w:rsidRDefault="0075766E" w:rsidP="00F65812">
      <w:pPr>
        <w:pStyle w:val="Corpsdetexte"/>
      </w:pPr>
    </w:p>
    <w:p w14:paraId="7F24EF96" w14:textId="77777777" w:rsidR="0075766E" w:rsidRPr="00F65812" w:rsidRDefault="0075766E" w:rsidP="00F65812">
      <w:pPr>
        <w:pStyle w:val="Corpsdetexte"/>
      </w:pPr>
    </w:p>
    <w:p w14:paraId="47085902" w14:textId="77777777" w:rsidR="0075766E" w:rsidRPr="00F65812" w:rsidRDefault="0075766E" w:rsidP="00F65812">
      <w:pPr>
        <w:pStyle w:val="Corpsdetexte"/>
      </w:pPr>
    </w:p>
    <w:p w14:paraId="264B83F6" w14:textId="77777777" w:rsidR="0075766E" w:rsidRPr="00F65812" w:rsidRDefault="0075766E" w:rsidP="00F65812">
      <w:pPr>
        <w:pStyle w:val="Corpsdetexte"/>
      </w:pPr>
    </w:p>
    <w:p w14:paraId="3A122CDD" w14:textId="77777777" w:rsidR="001C3524" w:rsidRPr="00F65812" w:rsidRDefault="001C3524" w:rsidP="00F65812">
      <w:pPr>
        <w:pStyle w:val="Corpsdetexte"/>
      </w:pPr>
    </w:p>
    <w:p w14:paraId="664FF279" w14:textId="77777777" w:rsidR="001C3524" w:rsidRPr="00F65812" w:rsidRDefault="001C3524" w:rsidP="00F65812">
      <w:pPr>
        <w:pStyle w:val="Corpsdetexte"/>
      </w:pPr>
    </w:p>
    <w:p w14:paraId="24160425" w14:textId="77777777" w:rsidR="001C3524" w:rsidRPr="00F65812" w:rsidRDefault="001C3524" w:rsidP="00F65812">
      <w:pPr>
        <w:pStyle w:val="Corpsdetexte"/>
      </w:pPr>
    </w:p>
    <w:p w14:paraId="7BA9C067" w14:textId="77777777" w:rsidR="001C3524" w:rsidRPr="00F65812" w:rsidRDefault="001C3524" w:rsidP="00F65812">
      <w:pPr>
        <w:pStyle w:val="Corpsdetexte"/>
      </w:pPr>
    </w:p>
    <w:p w14:paraId="3A471BC4" w14:textId="77777777" w:rsidR="001C3524" w:rsidRPr="00F65812" w:rsidRDefault="001C3524" w:rsidP="00F65812">
      <w:pPr>
        <w:pStyle w:val="Corpsdetexte"/>
      </w:pPr>
    </w:p>
    <w:p w14:paraId="5500FADB" w14:textId="77777777" w:rsidR="0075766E" w:rsidRPr="00F65812" w:rsidRDefault="0075766E" w:rsidP="00F65812">
      <w:pPr>
        <w:pStyle w:val="Corpsdetexte"/>
      </w:pPr>
    </w:p>
    <w:p w14:paraId="21A4766E" w14:textId="77777777" w:rsidR="00232F87" w:rsidRDefault="00232F87" w:rsidP="00232F87">
      <w:pPr>
        <w:pStyle w:val="Corpsdetexte"/>
      </w:pPr>
    </w:p>
    <w:p w14:paraId="3D602FC1" w14:textId="77777777" w:rsidR="00232F87" w:rsidRPr="00607029" w:rsidRDefault="00232F87" w:rsidP="00232F87">
      <w:pPr>
        <w:pStyle w:val="Corpsdetexte"/>
        <w:spacing w:before="0"/>
        <w:rPr>
          <w:b/>
          <w:color w:val="auto"/>
          <w:sz w:val="48"/>
          <w:szCs w:val="48"/>
        </w:rPr>
      </w:pPr>
    </w:p>
    <w:sectPr w:rsidR="00232F87" w:rsidRPr="00607029" w:rsidSect="00FF595E">
      <w:headerReference w:type="even" r:id="rId45"/>
      <w:headerReference w:type="default" r:id="rId46"/>
      <w:footerReference w:type="even" r:id="rId47"/>
      <w:footerReference w:type="default" r:id="rId48"/>
      <w:type w:val="continuous"/>
      <w:pgSz w:w="11907" w:h="16840" w:code="9"/>
      <w:pgMar w:top="2835" w:right="1134" w:bottom="1134" w:left="1134" w:header="567" w:footer="567" w:gutter="284"/>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3505C1" w15:done="0"/>
  <w15:commentEx w15:paraId="53457556" w15:done="0"/>
  <w15:commentEx w15:paraId="21C90267" w15:paraIdParent="53457556" w15:done="0"/>
  <w15:commentEx w15:paraId="288CFCB9" w15:done="0"/>
  <w15:commentEx w15:paraId="7EF85A41" w15:done="0"/>
  <w15:commentEx w15:paraId="10B37595" w15:done="0"/>
  <w15:commentEx w15:paraId="71B3D358" w15:paraIdParent="10B37595" w15:done="0"/>
  <w15:commentEx w15:paraId="41BFFCB1" w15:done="0"/>
  <w15:commentEx w15:paraId="24945544" w15:done="0"/>
  <w15:commentEx w15:paraId="1AB9B2B4" w15:done="0"/>
  <w15:commentEx w15:paraId="663ED4F9" w15:paraIdParent="1AB9B2B4" w15:done="0"/>
  <w15:commentEx w15:paraId="0CC61684" w15:done="0"/>
  <w15:commentEx w15:paraId="70D47E79" w15:done="0"/>
  <w15:commentEx w15:paraId="50805478" w15:paraIdParent="70D47E79" w15:done="0"/>
  <w15:commentEx w15:paraId="33C807AD" w15:done="0"/>
  <w15:commentEx w15:paraId="703EC4FA" w15:paraIdParent="33C807AD" w15:done="0"/>
  <w15:commentEx w15:paraId="780D8166" w15:done="0"/>
  <w15:commentEx w15:paraId="3405A95B" w15:paraIdParent="780D8166" w15:done="0"/>
  <w15:commentEx w15:paraId="6A23B452" w15:done="0"/>
  <w15:commentEx w15:paraId="7293140F" w15:done="0"/>
  <w15:commentEx w15:paraId="320E7438" w15:done="0"/>
  <w15:commentEx w15:paraId="57662642" w15:done="0"/>
  <w15:commentEx w15:paraId="6FBD56CD" w15:paraIdParent="57662642" w15:done="0"/>
  <w15:commentEx w15:paraId="54106B59" w15:done="0"/>
  <w15:commentEx w15:paraId="12E83A33" w15:done="0"/>
  <w15:commentEx w15:paraId="4763D0E8" w15:done="0"/>
  <w15:commentEx w15:paraId="62137A32" w15:done="0"/>
  <w15:commentEx w15:paraId="658607A4" w15:done="0"/>
  <w15:commentEx w15:paraId="044ECDD8" w15:done="0"/>
  <w15:commentEx w15:paraId="3BD25483" w15:done="0"/>
  <w15:commentEx w15:paraId="3A20C883" w15:done="0"/>
  <w15:commentEx w15:paraId="11C6CE18" w15:done="0"/>
  <w15:commentEx w15:paraId="6045D28A" w15:done="0"/>
  <w15:commentEx w15:paraId="3942D89B" w15:done="0"/>
  <w15:commentEx w15:paraId="42F7D346" w15:done="0"/>
  <w15:commentEx w15:paraId="6448C466" w15:done="0"/>
  <w15:commentEx w15:paraId="67FD9C49" w15:done="0"/>
  <w15:commentEx w15:paraId="5F7D19C4" w15:done="0"/>
  <w15:commentEx w15:paraId="0F2BAA31" w15:done="0"/>
  <w15:commentEx w15:paraId="329564C6" w15:done="0"/>
  <w15:commentEx w15:paraId="787F2F52" w15:done="0"/>
  <w15:commentEx w15:paraId="50D679CA" w15:done="0"/>
  <w15:commentEx w15:paraId="6FF0F37C" w15:done="0"/>
  <w15:commentEx w15:paraId="603C49CD" w15:done="0"/>
  <w15:commentEx w15:paraId="5D8650D4" w15:done="0"/>
  <w15:commentEx w15:paraId="5022DD6F" w15:done="0"/>
  <w15:commentEx w15:paraId="4D72D9EB" w15:done="0"/>
  <w15:commentEx w15:paraId="07397BEE" w15:done="0"/>
  <w15:commentEx w15:paraId="128A501F" w15:done="0"/>
  <w15:commentEx w15:paraId="0802AB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3505C1" w16cid:durableId="1F30F5CE"/>
  <w16cid:commentId w16cid:paraId="53457556" w16cid:durableId="1F2E62E2"/>
  <w16cid:commentId w16cid:paraId="21C90267" w16cid:durableId="1F30F5D0"/>
  <w16cid:commentId w16cid:paraId="288CFCB9" w16cid:durableId="1F2E62E3"/>
  <w16cid:commentId w16cid:paraId="7EF85A41" w16cid:durableId="1F2E62E4"/>
  <w16cid:commentId w16cid:paraId="10B37595" w16cid:durableId="1F30F5D3"/>
  <w16cid:commentId w16cid:paraId="71B3D358" w16cid:durableId="1F311FF1"/>
  <w16cid:commentId w16cid:paraId="41BFFCB1" w16cid:durableId="1F30F5D4"/>
  <w16cid:commentId w16cid:paraId="24945544" w16cid:durableId="1F2E62E6"/>
  <w16cid:commentId w16cid:paraId="1AB9B2B4" w16cid:durableId="1F2E62E7"/>
  <w16cid:commentId w16cid:paraId="663ED4F9" w16cid:durableId="1F30F5D7"/>
  <w16cid:commentId w16cid:paraId="0CC61684" w16cid:durableId="1F30F5D8"/>
  <w16cid:commentId w16cid:paraId="70D47E79" w16cid:durableId="1F2E62E8"/>
  <w16cid:commentId w16cid:paraId="50805478" w16cid:durableId="1F2E841F"/>
  <w16cid:commentId w16cid:paraId="33C807AD" w16cid:durableId="1F2E62EA"/>
  <w16cid:commentId w16cid:paraId="703EC4FA" w16cid:durableId="1F312328"/>
  <w16cid:commentId w16cid:paraId="780D8166" w16cid:durableId="1F2E62EB"/>
  <w16cid:commentId w16cid:paraId="3405A95B" w16cid:durableId="1F30F5DD"/>
  <w16cid:commentId w16cid:paraId="6A23B452" w16cid:durableId="1F2E62EC"/>
  <w16cid:commentId w16cid:paraId="7293140F" w16cid:durableId="1F2E62ED"/>
  <w16cid:commentId w16cid:paraId="320E7438" w16cid:durableId="1F2E62EE"/>
  <w16cid:commentId w16cid:paraId="57662642" w16cid:durableId="1F2E62EF"/>
  <w16cid:commentId w16cid:paraId="6FBD56CD" w16cid:durableId="1F2E62F0"/>
  <w16cid:commentId w16cid:paraId="54106B59" w16cid:durableId="1F2E62F1"/>
  <w16cid:commentId w16cid:paraId="12E83A33" w16cid:durableId="1F2E62F2"/>
  <w16cid:commentId w16cid:paraId="4763D0E8" w16cid:durableId="1F2E62F3"/>
  <w16cid:commentId w16cid:paraId="62137A32" w16cid:durableId="1F2E62F4"/>
  <w16cid:commentId w16cid:paraId="658607A4" w16cid:durableId="1F2E62F5"/>
  <w16cid:commentId w16cid:paraId="044ECDD8" w16cid:durableId="1F2E62F6"/>
  <w16cid:commentId w16cid:paraId="3BD25483" w16cid:durableId="1F2E62F7"/>
  <w16cid:commentId w16cid:paraId="3A20C883" w16cid:durableId="1F313DAA"/>
  <w16cid:commentId w16cid:paraId="11C6CE18" w16cid:durableId="1F30F5EA"/>
  <w16cid:commentId w16cid:paraId="6045D28A" w16cid:durableId="1F2E62F9"/>
  <w16cid:commentId w16cid:paraId="3942D89B" w16cid:durableId="1F2E62FA"/>
  <w16cid:commentId w16cid:paraId="42F7D346" w16cid:durableId="1F2E62FB"/>
  <w16cid:commentId w16cid:paraId="6448C466" w16cid:durableId="1F30F5EE"/>
  <w16cid:commentId w16cid:paraId="67FD9C49" w16cid:durableId="1F2E62FC"/>
  <w16cid:commentId w16cid:paraId="5F7D19C4" w16cid:durableId="1F2E62FD"/>
  <w16cid:commentId w16cid:paraId="0F2BAA31" w16cid:durableId="1F30F5F1"/>
  <w16cid:commentId w16cid:paraId="329564C6" w16cid:durableId="1F314086"/>
  <w16cid:commentId w16cid:paraId="787F2F52" w16cid:durableId="1F2E6300"/>
  <w16cid:commentId w16cid:paraId="50D679CA" w16cid:durableId="1F2E6301"/>
  <w16cid:commentId w16cid:paraId="6FF0F37C" w16cid:durableId="1F2E6303"/>
  <w16cid:commentId w16cid:paraId="603C49CD" w16cid:durableId="1F30F5F6"/>
  <w16cid:commentId w16cid:paraId="5D8650D4" w16cid:durableId="1F2E6305"/>
  <w16cid:commentId w16cid:paraId="5022DD6F" w16cid:durableId="1F2E6307"/>
  <w16cid:commentId w16cid:paraId="4D72D9EB" w16cid:durableId="1F2E6308"/>
  <w16cid:commentId w16cid:paraId="07397BEE" w16cid:durableId="1F2E6309"/>
  <w16cid:commentId w16cid:paraId="128A501F" w16cid:durableId="1F2E630A"/>
  <w16cid:commentId w16cid:paraId="0802ABA9" w16cid:durableId="1F2E63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7A3D2" w14:textId="77777777" w:rsidR="00385E70" w:rsidRDefault="00385E70" w:rsidP="00CE55B1">
      <w:r>
        <w:separator/>
      </w:r>
    </w:p>
  </w:endnote>
  <w:endnote w:type="continuationSeparator" w:id="0">
    <w:p w14:paraId="51B07742" w14:textId="77777777" w:rsidR="00385E70" w:rsidRDefault="00385E70" w:rsidP="00CE5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optim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LTStd-LtC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068940"/>
      <w:docPartObj>
        <w:docPartGallery w:val="Page Numbers (Bottom of Page)"/>
        <w:docPartUnique/>
      </w:docPartObj>
    </w:sdtPr>
    <w:sdtContent>
      <w:p w14:paraId="4747079D" w14:textId="2ADD212E" w:rsidR="00CE4F47" w:rsidRDefault="00CE4F47">
        <w:pPr>
          <w:pStyle w:val="Pieddepage"/>
          <w:jc w:val="center"/>
        </w:pPr>
        <w:r>
          <w:fldChar w:fldCharType="begin"/>
        </w:r>
        <w:r>
          <w:instrText>PAGE   \* MERGEFORMAT</w:instrText>
        </w:r>
        <w:r>
          <w:fldChar w:fldCharType="separate"/>
        </w:r>
        <w:r w:rsidR="00D96336">
          <w:rPr>
            <w:noProof/>
          </w:rPr>
          <w:t>3</w:t>
        </w:r>
        <w:r>
          <w:fldChar w:fldCharType="end"/>
        </w:r>
      </w:p>
    </w:sdtContent>
  </w:sdt>
  <w:p w14:paraId="0AFBFF0F" w14:textId="77777777" w:rsidR="00CE4F47" w:rsidRPr="00457DAD" w:rsidRDefault="00CE4F47" w:rsidP="007D5469">
    <w:pPr>
      <w:pStyle w:val="Pieddepage"/>
      <w:ind w:left="9441" w:right="-85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337212"/>
      <w:docPartObj>
        <w:docPartGallery w:val="Page Numbers (Bottom of Page)"/>
        <w:docPartUnique/>
      </w:docPartObj>
    </w:sdtPr>
    <w:sdtContent>
      <w:p w14:paraId="00BE6A8B" w14:textId="33F8DE34" w:rsidR="00CE4F47" w:rsidRDefault="00CE4F47" w:rsidP="00F85E66">
        <w:pPr>
          <w:pStyle w:val="Pieddepage"/>
          <w:jc w:val="center"/>
        </w:pPr>
        <w:r>
          <w:fldChar w:fldCharType="begin"/>
        </w:r>
        <w:r>
          <w:instrText>PAGE   \* MERGEFORMAT</w:instrText>
        </w:r>
        <w:r>
          <w:fldChar w:fldCharType="separate"/>
        </w:r>
        <w:r w:rsidR="00D96336">
          <w:rPr>
            <w:noProof/>
          </w:rPr>
          <w:t>2</w:t>
        </w:r>
        <w:r>
          <w:fldChar w:fldCharType="end"/>
        </w:r>
      </w:p>
    </w:sdtContent>
  </w:sdt>
  <w:p w14:paraId="2409F794" w14:textId="77777777" w:rsidR="00CE4F47" w:rsidRPr="00B433BC" w:rsidRDefault="00CE4F47" w:rsidP="0073204A">
    <w:pPr>
      <w:pStyle w:val="Pieddepage"/>
      <w:ind w:left="-851" w:right="9441"/>
      <w:jc w:val="center"/>
      <w:rPr>
        <w:rStyle w:val="Numrodepage"/>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238494"/>
      <w:docPartObj>
        <w:docPartGallery w:val="Page Numbers (Bottom of Page)"/>
        <w:docPartUnique/>
      </w:docPartObj>
    </w:sdtPr>
    <w:sdtContent>
      <w:p w14:paraId="73255F16" w14:textId="466FD165" w:rsidR="00CE4F47" w:rsidRDefault="00CE4F47">
        <w:pPr>
          <w:pStyle w:val="Pieddepage"/>
          <w:jc w:val="center"/>
        </w:pPr>
        <w:r>
          <w:fldChar w:fldCharType="begin"/>
        </w:r>
        <w:r>
          <w:instrText>PAGE   \* MERGEFORMAT</w:instrText>
        </w:r>
        <w:r>
          <w:fldChar w:fldCharType="separate"/>
        </w:r>
        <w:r w:rsidR="00D96336">
          <w:rPr>
            <w:noProof/>
          </w:rPr>
          <w:t>99</w:t>
        </w:r>
        <w:r>
          <w:fldChar w:fldCharType="end"/>
        </w:r>
      </w:p>
    </w:sdtContent>
  </w:sdt>
  <w:p w14:paraId="7BBDCE24" w14:textId="77777777" w:rsidR="00CE4F47" w:rsidRDefault="00CE4F4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DF3B2" w14:textId="77777777" w:rsidR="00CE4F47" w:rsidRPr="00465378" w:rsidRDefault="00CE4F47" w:rsidP="00465378">
    <w:pPr>
      <w:pStyle w:val="Pieddepage"/>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0656E" w14:textId="77777777" w:rsidR="00CE4F47" w:rsidRPr="0081476F" w:rsidRDefault="00CE4F47" w:rsidP="0081476F">
    <w:pPr>
      <w:pStyle w:val="Pieddepage"/>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BE1AC" w14:textId="77777777" w:rsidR="00385E70" w:rsidRPr="00F7741E" w:rsidRDefault="00385E70" w:rsidP="00F7741E">
      <w:pPr>
        <w:pStyle w:val="Pieddepage"/>
      </w:pPr>
    </w:p>
  </w:footnote>
  <w:footnote w:type="continuationSeparator" w:id="0">
    <w:p w14:paraId="4A15B7F1" w14:textId="77777777" w:rsidR="00385E70" w:rsidRDefault="00385E70" w:rsidP="00CE55B1">
      <w:r>
        <w:continuationSeparator/>
      </w:r>
    </w:p>
  </w:footnote>
  <w:footnote w:id="1">
    <w:p w14:paraId="203040EA" w14:textId="03A6EB90" w:rsidR="00CE4F47" w:rsidRPr="00302679" w:rsidRDefault="00CE4F47" w:rsidP="00D22E5A">
      <w:pPr>
        <w:autoSpaceDE w:val="0"/>
        <w:autoSpaceDN w:val="0"/>
        <w:adjustRightInd w:val="0"/>
        <w:jc w:val="both"/>
        <w:rPr>
          <w:rFonts w:ascii="HelveticaNeueLTStd-LtCn" w:hAnsi="HelveticaNeueLTStd-LtCn" w:cs="HelveticaNeueLTStd-LtCn"/>
          <w:i/>
        </w:rPr>
      </w:pPr>
      <w:r>
        <w:rPr>
          <w:rStyle w:val="Appelnotedebasdep"/>
        </w:rPr>
        <w:footnoteRef/>
      </w:r>
      <w:r>
        <w:t xml:space="preserve"> </w:t>
      </w:r>
      <w:r w:rsidRPr="00302679">
        <w:rPr>
          <w:rFonts w:eastAsiaTheme="minorEastAsia"/>
          <w:i/>
          <w:sz w:val="18"/>
          <w:szCs w:val="18"/>
          <w:lang w:eastAsia="fr-FR"/>
        </w:rPr>
        <w:t xml:space="preserve">Le dénombrement des personnes en situation de handicap pose des </w:t>
      </w:r>
      <w:r>
        <w:rPr>
          <w:rFonts w:eastAsiaTheme="minorEastAsia"/>
          <w:i/>
          <w:sz w:val="18"/>
          <w:szCs w:val="18"/>
          <w:lang w:eastAsia="fr-FR"/>
        </w:rPr>
        <w:t xml:space="preserve">difficultés : en </w:t>
      </w:r>
      <w:r w:rsidRPr="00302679">
        <w:rPr>
          <w:rFonts w:eastAsiaTheme="minorEastAsia"/>
          <w:i/>
          <w:sz w:val="18"/>
          <w:szCs w:val="18"/>
          <w:lang w:eastAsia="fr-FR"/>
        </w:rPr>
        <w:t xml:space="preserve">fonction du caractère plus ou moins restrictif de la définition du handicap retenu, il conduit à un nombre de personnes handicapées allant de 1 million à plus de 11 millions. Selon une étude de la Drees publiée en mars 2017, le nombre de personnes </w:t>
      </w:r>
      <w:r>
        <w:rPr>
          <w:rFonts w:eastAsiaTheme="minorEastAsia"/>
          <w:i/>
          <w:sz w:val="18"/>
          <w:szCs w:val="18"/>
          <w:lang w:eastAsia="fr-FR"/>
        </w:rPr>
        <w:t xml:space="preserve">de 15 à 64 ans </w:t>
      </w:r>
      <w:r w:rsidRPr="00302679">
        <w:rPr>
          <w:rFonts w:eastAsiaTheme="minorEastAsia"/>
          <w:i/>
          <w:sz w:val="18"/>
          <w:szCs w:val="18"/>
          <w:lang w:eastAsia="fr-FR"/>
        </w:rPr>
        <w:t xml:space="preserve">se déclarant en situation de handicap </w:t>
      </w:r>
      <w:r>
        <w:rPr>
          <w:rFonts w:eastAsiaTheme="minorEastAsia"/>
          <w:i/>
          <w:sz w:val="18"/>
          <w:szCs w:val="18"/>
          <w:lang w:eastAsia="fr-FR"/>
        </w:rPr>
        <w:t xml:space="preserve">(en raison d’une </w:t>
      </w:r>
      <w:r w:rsidRPr="00302679">
        <w:rPr>
          <w:rFonts w:eastAsiaTheme="minorEastAsia"/>
          <w:i/>
          <w:sz w:val="18"/>
          <w:szCs w:val="18"/>
          <w:lang w:eastAsia="fr-FR"/>
        </w:rPr>
        <w:t xml:space="preserve">limitation fonctionnelle ou </w:t>
      </w:r>
      <w:r>
        <w:rPr>
          <w:rFonts w:eastAsiaTheme="minorEastAsia"/>
          <w:i/>
          <w:sz w:val="18"/>
          <w:szCs w:val="18"/>
          <w:lang w:eastAsia="fr-FR"/>
        </w:rPr>
        <w:t>d’</w:t>
      </w:r>
      <w:r w:rsidRPr="00302679">
        <w:rPr>
          <w:rFonts w:eastAsiaTheme="minorEastAsia"/>
          <w:i/>
          <w:sz w:val="18"/>
          <w:szCs w:val="18"/>
          <w:lang w:eastAsia="fr-FR"/>
        </w:rPr>
        <w:t>une reconnaissance administrative d’un</w:t>
      </w:r>
      <w:r>
        <w:rPr>
          <w:rFonts w:eastAsiaTheme="minorEastAsia"/>
          <w:i/>
          <w:sz w:val="18"/>
          <w:szCs w:val="18"/>
          <w:lang w:eastAsia="fr-FR"/>
        </w:rPr>
        <w:t xml:space="preserve"> handicap)</w:t>
      </w:r>
      <w:r w:rsidRPr="00302679">
        <w:rPr>
          <w:rFonts w:eastAsiaTheme="minorEastAsia"/>
          <w:i/>
          <w:sz w:val="18"/>
          <w:szCs w:val="18"/>
          <w:lang w:eastAsia="fr-FR"/>
        </w:rPr>
        <w:t xml:space="preserve"> s’</w:t>
      </w:r>
      <w:r>
        <w:rPr>
          <w:rFonts w:eastAsiaTheme="minorEastAsia"/>
          <w:i/>
          <w:sz w:val="18"/>
          <w:szCs w:val="18"/>
          <w:lang w:eastAsia="fr-FR"/>
        </w:rPr>
        <w:t>élevait</w:t>
      </w:r>
      <w:r w:rsidRPr="00302679">
        <w:rPr>
          <w:rFonts w:eastAsiaTheme="minorEastAsia"/>
          <w:i/>
          <w:sz w:val="18"/>
          <w:szCs w:val="18"/>
          <w:lang w:eastAsia="fr-FR"/>
        </w:rPr>
        <w:t xml:space="preserve"> à plus de 11 </w:t>
      </w:r>
      <w:r>
        <w:rPr>
          <w:rFonts w:eastAsiaTheme="minorEastAsia"/>
          <w:i/>
          <w:sz w:val="18"/>
          <w:szCs w:val="18"/>
          <w:lang w:eastAsia="fr-FR"/>
        </w:rPr>
        <w:t>millions en 2010.</w:t>
      </w:r>
      <w:r w:rsidRPr="00302679">
        <w:rPr>
          <w:rFonts w:eastAsiaTheme="minorEastAsia"/>
          <w:i/>
          <w:sz w:val="18"/>
          <w:szCs w:val="18"/>
          <w:lang w:eastAsia="fr-FR"/>
        </w:rPr>
        <w:t xml:space="preserve"> Le</w:t>
      </w:r>
      <w:r>
        <w:rPr>
          <w:rFonts w:eastAsiaTheme="minorEastAsia"/>
          <w:i/>
          <w:sz w:val="18"/>
          <w:szCs w:val="18"/>
          <w:lang w:eastAsia="fr-FR"/>
        </w:rPr>
        <w:t>ur</w:t>
      </w:r>
      <w:r w:rsidRPr="00302679">
        <w:rPr>
          <w:rFonts w:eastAsiaTheme="minorEastAsia"/>
          <w:i/>
          <w:sz w:val="18"/>
          <w:szCs w:val="18"/>
          <w:lang w:eastAsia="fr-FR"/>
        </w:rPr>
        <w:t xml:space="preserve"> taux de pauvreté </w:t>
      </w:r>
      <w:r>
        <w:rPr>
          <w:rFonts w:eastAsiaTheme="minorEastAsia"/>
          <w:i/>
          <w:sz w:val="18"/>
          <w:szCs w:val="18"/>
          <w:lang w:eastAsia="fr-FR"/>
        </w:rPr>
        <w:t>atteignait</w:t>
      </w:r>
      <w:r w:rsidRPr="00302679">
        <w:rPr>
          <w:rFonts w:eastAsiaTheme="minorEastAsia"/>
          <w:i/>
          <w:sz w:val="18"/>
          <w:szCs w:val="18"/>
          <w:lang w:eastAsia="fr-FR"/>
        </w:rPr>
        <w:t xml:space="preserve"> 13,8% avec de fortes disparités en fonction du handicap. Cf. an</w:t>
      </w:r>
      <w:r>
        <w:rPr>
          <w:rFonts w:eastAsiaTheme="minorEastAsia"/>
          <w:i/>
          <w:sz w:val="18"/>
          <w:szCs w:val="18"/>
          <w:lang w:eastAsia="fr-FR"/>
        </w:rPr>
        <w:t>nexe 4</w:t>
      </w:r>
      <w:r w:rsidRPr="00302679">
        <w:rPr>
          <w:rFonts w:eastAsiaTheme="minorEastAsia"/>
          <w:i/>
          <w:sz w:val="18"/>
          <w:szCs w:val="18"/>
          <w:lang w:eastAsia="fr-FR"/>
        </w:rPr>
        <w:t>.</w:t>
      </w:r>
    </w:p>
  </w:footnote>
  <w:footnote w:id="2">
    <w:p w14:paraId="2C871BBC" w14:textId="77777777" w:rsidR="00CE4F47" w:rsidRDefault="00CE4F47" w:rsidP="00CE5874">
      <w:pPr>
        <w:pStyle w:val="Notedebasdepage"/>
      </w:pPr>
      <w:r>
        <w:rPr>
          <w:rStyle w:val="Appelnotedebasdep"/>
        </w:rPr>
        <w:footnoteRef/>
      </w:r>
      <w:r>
        <w:t xml:space="preserve"> </w:t>
      </w:r>
      <w:r w:rsidRPr="00181084">
        <w:rPr>
          <w:rFonts w:eastAsiaTheme="minorEastAsia"/>
          <w:szCs w:val="18"/>
        </w:rPr>
        <w:t>En particulier, les évolutions nécessaires à l’amélioration de l’accès aux soins des enfants en situation de précarité relevant des travaux du délégué interministériel à la prévention et à la lutte contre la pauvreté des enfants et des jeunes ne sont pas év</w:t>
      </w:r>
      <w:r w:rsidRPr="00181084">
        <w:rPr>
          <w:rFonts w:eastAsiaTheme="minorEastAsia"/>
          <w:szCs w:val="18"/>
        </w:rPr>
        <w:t>o</w:t>
      </w:r>
      <w:r w:rsidRPr="00181084">
        <w:rPr>
          <w:rFonts w:eastAsiaTheme="minorEastAsia"/>
          <w:szCs w:val="18"/>
        </w:rPr>
        <w:t>quées dans le présent rapport.</w:t>
      </w:r>
      <w:r>
        <w:t xml:space="preserve"> </w:t>
      </w:r>
    </w:p>
  </w:footnote>
  <w:footnote w:id="3">
    <w:p w14:paraId="563FBD58" w14:textId="1C4F7DE9" w:rsidR="00CE4F47" w:rsidRDefault="00CE4F47" w:rsidP="00D423ED">
      <w:pPr>
        <w:pStyle w:val="Notedebasdepage"/>
      </w:pPr>
      <w:r>
        <w:rPr>
          <w:rStyle w:val="Appelnotedebasdep"/>
        </w:rPr>
        <w:footnoteRef/>
      </w:r>
      <w:r>
        <w:t xml:space="preserve"> Cf. </w:t>
      </w:r>
      <w:r w:rsidRPr="00174DDD">
        <w:rPr>
          <w:rFonts w:cstheme="minorHAnsi"/>
          <w:szCs w:val="18"/>
        </w:rPr>
        <w:t>Bibliographie</w:t>
      </w:r>
    </w:p>
  </w:footnote>
  <w:footnote w:id="4">
    <w:p w14:paraId="2486FE1A" w14:textId="3A649251" w:rsidR="00CE4F47" w:rsidRDefault="00CE4F47">
      <w:pPr>
        <w:pStyle w:val="Notedebasdepage"/>
      </w:pPr>
      <w:r>
        <w:rPr>
          <w:rStyle w:val="Appelnotedebasdep"/>
        </w:rPr>
        <w:footnoteRef/>
      </w:r>
      <w:r>
        <w:t xml:space="preserve"> Cf. annexe 5, </w:t>
      </w:r>
      <w:r w:rsidRPr="006C361B">
        <w:rPr>
          <w:szCs w:val="18"/>
        </w:rPr>
        <w:t>synthèse de l’étude IRDES de 2015 sur l’accès aux soins courants et préventifs des personnes en situation de ha</w:t>
      </w:r>
      <w:r w:rsidRPr="006C361B">
        <w:rPr>
          <w:szCs w:val="18"/>
        </w:rPr>
        <w:t>n</w:t>
      </w:r>
      <w:r w:rsidRPr="006C361B">
        <w:rPr>
          <w:szCs w:val="18"/>
        </w:rPr>
        <w:t>dica</w:t>
      </w:r>
      <w:r>
        <w:rPr>
          <w:szCs w:val="18"/>
        </w:rPr>
        <w:t>p.</w:t>
      </w:r>
    </w:p>
  </w:footnote>
  <w:footnote w:id="5">
    <w:p w14:paraId="664FCA72" w14:textId="36536B85" w:rsidR="00CE4F47" w:rsidRDefault="00CE4F47" w:rsidP="00D423ED">
      <w:pPr>
        <w:pStyle w:val="Notedebasdepage"/>
      </w:pPr>
      <w:r>
        <w:rPr>
          <w:rStyle w:val="Appelnotedebasdep"/>
        </w:rPr>
        <w:footnoteRef/>
      </w:r>
      <w:r>
        <w:t xml:space="preserve"> </w:t>
      </w:r>
      <w:r w:rsidRPr="006C361B">
        <w:rPr>
          <w:szCs w:val="18"/>
        </w:rPr>
        <w:t>Notamment :</w:t>
      </w:r>
      <w:r>
        <w:t xml:space="preserve"> </w:t>
      </w:r>
      <w:r w:rsidRPr="006C361B">
        <w:rPr>
          <w:szCs w:val="18"/>
        </w:rPr>
        <w:t>Agence nouvelle des solidarités actives « Comment mieux prendre en charge la santé des personnes sans dom</w:t>
      </w:r>
      <w:r w:rsidRPr="006C361B">
        <w:rPr>
          <w:szCs w:val="18"/>
        </w:rPr>
        <w:t>i</w:t>
      </w:r>
      <w:r w:rsidRPr="006C361B">
        <w:rPr>
          <w:szCs w:val="18"/>
        </w:rPr>
        <w:t>cile, repérages de pratiques innovantes</w:t>
      </w:r>
      <w:r>
        <w:rPr>
          <w:szCs w:val="18"/>
        </w:rPr>
        <w:t> »</w:t>
      </w:r>
      <w:r w:rsidRPr="006C361B">
        <w:rPr>
          <w:szCs w:val="18"/>
        </w:rPr>
        <w:t>, juin 2016 ; enquête SAMENTA de l’INSERM, travaux de l’académie de médecine, du SAMU social comme des nombreuses associations spécialisées dans la lutte contre la précarité et même des thèses réc</w:t>
      </w:r>
      <w:r>
        <w:rPr>
          <w:szCs w:val="18"/>
        </w:rPr>
        <w:t>entes.</w:t>
      </w:r>
    </w:p>
  </w:footnote>
  <w:footnote w:id="6">
    <w:p w14:paraId="5A7BDC01" w14:textId="77777777" w:rsidR="00CE4F47" w:rsidRDefault="00CE4F47" w:rsidP="00DF46E5">
      <w:pPr>
        <w:pStyle w:val="Notedebasdepage"/>
      </w:pPr>
      <w:r>
        <w:rPr>
          <w:rStyle w:val="Appelnotedebasdep"/>
        </w:rPr>
        <w:footnoteRef/>
      </w:r>
      <w:r>
        <w:t xml:space="preserve"> </w:t>
      </w:r>
      <w:r w:rsidRPr="006C361B">
        <w:rPr>
          <w:szCs w:val="18"/>
        </w:rPr>
        <w:t>L’estimation du taux de non recours est fournie en fourchette chaque année par la DREES.</w:t>
      </w:r>
    </w:p>
  </w:footnote>
  <w:footnote w:id="7">
    <w:p w14:paraId="70BCDF7B" w14:textId="77777777" w:rsidR="00CE4F47" w:rsidRDefault="00CE4F47" w:rsidP="001446C1">
      <w:pPr>
        <w:pStyle w:val="Notedebasdepage"/>
      </w:pPr>
      <w:r>
        <w:rPr>
          <w:rStyle w:val="Appelnotedebasdep"/>
        </w:rPr>
        <w:footnoteRef/>
      </w:r>
      <w:r>
        <w:t xml:space="preserve"> </w:t>
      </w:r>
      <w:r w:rsidRPr="006C361B">
        <w:rPr>
          <w:szCs w:val="18"/>
        </w:rPr>
        <w:t xml:space="preserve">Sur la typologie des motifs de non recours, </w:t>
      </w:r>
      <w:r>
        <w:rPr>
          <w:szCs w:val="18"/>
        </w:rPr>
        <w:t>voir</w:t>
      </w:r>
      <w:r w:rsidRPr="006C361B">
        <w:rPr>
          <w:szCs w:val="18"/>
        </w:rPr>
        <w:t xml:space="preserve"> les travaux de l’Observatoire du non recours aux droits et services</w:t>
      </w:r>
      <w:r>
        <w:rPr>
          <w:szCs w:val="18"/>
        </w:rPr>
        <w:t xml:space="preserve"> </w:t>
      </w:r>
      <w:r w:rsidRPr="006C361B">
        <w:rPr>
          <w:szCs w:val="18"/>
        </w:rPr>
        <w:t>(Odenore).</w:t>
      </w:r>
    </w:p>
  </w:footnote>
  <w:footnote w:id="8">
    <w:p w14:paraId="1E16681C" w14:textId="77777777" w:rsidR="00CE4F47" w:rsidRPr="00181084" w:rsidRDefault="00CE4F47" w:rsidP="00D423ED">
      <w:pPr>
        <w:autoSpaceDE w:val="0"/>
        <w:autoSpaceDN w:val="0"/>
        <w:adjustRightInd w:val="0"/>
        <w:rPr>
          <w:rFonts w:eastAsia="Times New Roman"/>
          <w:i/>
          <w:sz w:val="18"/>
          <w:szCs w:val="18"/>
          <w:lang w:eastAsia="fr-FR"/>
        </w:rPr>
      </w:pPr>
      <w:r>
        <w:rPr>
          <w:rStyle w:val="Appelnotedebasdep"/>
        </w:rPr>
        <w:footnoteRef/>
      </w:r>
      <w:r>
        <w:t xml:space="preserve"> </w:t>
      </w:r>
      <w:r w:rsidRPr="00181084">
        <w:rPr>
          <w:rFonts w:eastAsia="Times New Roman"/>
          <w:i/>
          <w:sz w:val="18"/>
          <w:szCs w:val="18"/>
          <w:lang w:eastAsia="fr-FR"/>
        </w:rPr>
        <w:t>Contre 26% pour l’ensemble de la population des 18-64 ans. Réponse à la question « au cours des douze derniers mois, avez-vous renoncé pour vous-même à des soins pour raisons financières ? », dernière enquête ESPS de l’IRDES / DREES de 2014.</w:t>
      </w:r>
    </w:p>
  </w:footnote>
  <w:footnote w:id="9">
    <w:p w14:paraId="35BA7E90" w14:textId="4BBBB79B" w:rsidR="00CE4F47" w:rsidRDefault="00CE4F47" w:rsidP="00D423ED">
      <w:pPr>
        <w:pStyle w:val="Notedebasdepage"/>
      </w:pPr>
      <w:r>
        <w:rPr>
          <w:rStyle w:val="Appelnotedebasdep"/>
        </w:rPr>
        <w:footnoteRef/>
      </w:r>
      <w:r>
        <w:t xml:space="preserve"> </w:t>
      </w:r>
      <w:r w:rsidRPr="006C361B">
        <w:rPr>
          <w:szCs w:val="18"/>
        </w:rPr>
        <w:t>Pour les personnes de moins de 60 ans, risque</w:t>
      </w:r>
      <w:r>
        <w:rPr>
          <w:szCs w:val="18"/>
        </w:rPr>
        <w:t>s</w:t>
      </w:r>
      <w:r w:rsidRPr="006C361B">
        <w:rPr>
          <w:szCs w:val="18"/>
        </w:rPr>
        <w:t xml:space="preserve"> relatifs ajustés sur l’âge et le sexe</w:t>
      </w:r>
      <w:r>
        <w:rPr>
          <w:szCs w:val="18"/>
        </w:rPr>
        <w:t>.</w:t>
      </w:r>
    </w:p>
  </w:footnote>
  <w:footnote w:id="10">
    <w:p w14:paraId="4E9627B6" w14:textId="52603207" w:rsidR="00CE4F47" w:rsidRDefault="00CE4F47" w:rsidP="00D423ED">
      <w:pPr>
        <w:pStyle w:val="Notedebasdepage"/>
      </w:pPr>
      <w:r>
        <w:rPr>
          <w:rStyle w:val="Appelnotedebasdep"/>
        </w:rPr>
        <w:footnoteRef/>
      </w:r>
      <w:r>
        <w:t xml:space="preserve"> </w:t>
      </w:r>
      <w:r w:rsidRPr="006C361B">
        <w:rPr>
          <w:szCs w:val="18"/>
        </w:rPr>
        <w:t>2,2 fois plus élevé pour les titulaires de la CMU</w:t>
      </w:r>
      <w:r w:rsidRPr="006C361B">
        <w:rPr>
          <w:szCs w:val="18"/>
        </w:rPr>
        <w:noBreakHyphen/>
        <w:t>C ; 2,4 fois plus élevé pour les titulaires de l’ACS</w:t>
      </w:r>
      <w:r>
        <w:rPr>
          <w:szCs w:val="18"/>
        </w:rPr>
        <w:t>.</w:t>
      </w:r>
      <w:r>
        <w:t xml:space="preserve"> </w:t>
      </w:r>
    </w:p>
  </w:footnote>
  <w:footnote w:id="11">
    <w:p w14:paraId="0735DBC0" w14:textId="77777777" w:rsidR="00CE4F47" w:rsidRDefault="00CE4F47" w:rsidP="00E228C3">
      <w:pPr>
        <w:pStyle w:val="Notedebasdepage"/>
      </w:pPr>
      <w:r w:rsidRPr="000A452E">
        <w:rPr>
          <w:vertAlign w:val="superscript"/>
        </w:rPr>
        <w:footnoteRef/>
      </w:r>
      <w:r w:rsidRPr="000A452E">
        <w:rPr>
          <w:vertAlign w:val="superscript"/>
        </w:rPr>
        <w:t xml:space="preserve"> </w:t>
      </w:r>
      <w:r>
        <w:t>Cf. la partie constat du présent rapport.</w:t>
      </w:r>
    </w:p>
  </w:footnote>
  <w:footnote w:id="12">
    <w:p w14:paraId="4769D8B6" w14:textId="7CA7DA30" w:rsidR="00CE4F47" w:rsidRPr="009371B6" w:rsidRDefault="00CE4F47" w:rsidP="00E228C3">
      <w:pPr>
        <w:pStyle w:val="Notedebasdepage"/>
      </w:pPr>
      <w:r w:rsidRPr="006C361B">
        <w:rPr>
          <w:rStyle w:val="Appelnotedebasdep"/>
        </w:rPr>
        <w:footnoteRef/>
      </w:r>
      <w:r w:rsidRPr="006C361B">
        <w:rPr>
          <w:rStyle w:val="Appelnotedebasdep"/>
        </w:rPr>
        <w:t xml:space="preserve"> </w:t>
      </w:r>
      <w:r w:rsidRPr="006C361B">
        <w:rPr>
          <w:szCs w:val="18"/>
        </w:rPr>
        <w:t>Inférieures à 734</w:t>
      </w:r>
      <w:r>
        <w:rPr>
          <w:szCs w:val="18"/>
        </w:rPr>
        <w:t xml:space="preserve"> euros</w:t>
      </w:r>
      <w:r w:rsidRPr="006C361B">
        <w:rPr>
          <w:szCs w:val="18"/>
        </w:rPr>
        <w:t xml:space="preserve"> par mois pour une personne seule.</w:t>
      </w:r>
      <w:r>
        <w:t xml:space="preserve"> </w:t>
      </w:r>
    </w:p>
  </w:footnote>
  <w:footnote w:id="13">
    <w:p w14:paraId="3943E473" w14:textId="62499EA7" w:rsidR="00CE4F47" w:rsidRDefault="00CE4F47">
      <w:pPr>
        <w:pStyle w:val="Notedebasdepage"/>
      </w:pPr>
      <w:r>
        <w:rPr>
          <w:rStyle w:val="Appelnotedebasdep"/>
        </w:rPr>
        <w:footnoteRef/>
      </w:r>
      <w:r>
        <w:t xml:space="preserve"> Ressources comprises entre 734 euros et 991 euros par mois pour une personne seule.</w:t>
      </w:r>
    </w:p>
  </w:footnote>
  <w:footnote w:id="14">
    <w:p w14:paraId="535133BD" w14:textId="25C3CF27" w:rsidR="00CE4F47" w:rsidRDefault="00CE4F47" w:rsidP="008D6BD4">
      <w:pPr>
        <w:autoSpaceDE w:val="0"/>
        <w:autoSpaceDN w:val="0"/>
        <w:adjustRightInd w:val="0"/>
        <w:jc w:val="both"/>
      </w:pPr>
      <w:r>
        <w:rPr>
          <w:rStyle w:val="Appelnotedebasdep"/>
        </w:rPr>
        <w:footnoteRef/>
      </w:r>
      <w:r>
        <w:t xml:space="preserve"> </w:t>
      </w:r>
      <w:r w:rsidRPr="003160C1">
        <w:rPr>
          <w:rFonts w:eastAsiaTheme="minorEastAsia"/>
          <w:i/>
          <w:sz w:val="18"/>
          <w:szCs w:val="18"/>
          <w:lang w:eastAsia="fr-FR"/>
        </w:rPr>
        <w:t xml:space="preserve">À la faveur de l’utilisation de la DSN par l'ensemble des employeurs de droit privé dès 2018 pour déclarer les salaires du mois précédent et de la mise en œuvre de la déclaration mensuelle dématérialisée PASRAU au titre des revenus de remplacement imposables, la </w:t>
      </w:r>
      <w:r>
        <w:rPr>
          <w:rFonts w:eastAsiaTheme="minorEastAsia"/>
          <w:i/>
          <w:sz w:val="18"/>
          <w:szCs w:val="18"/>
          <w:lang w:eastAsia="fr-FR"/>
        </w:rPr>
        <w:t>Direction générale des f</w:t>
      </w:r>
      <w:r w:rsidRPr="008D6BD4">
        <w:rPr>
          <w:rFonts w:eastAsiaTheme="minorEastAsia"/>
          <w:i/>
          <w:sz w:val="18"/>
          <w:szCs w:val="18"/>
          <w:lang w:eastAsia="fr-FR"/>
        </w:rPr>
        <w:t xml:space="preserve">inances publiques </w:t>
      </w:r>
      <w:r>
        <w:rPr>
          <w:rFonts w:eastAsiaTheme="minorEastAsia"/>
          <w:i/>
          <w:sz w:val="18"/>
          <w:szCs w:val="18"/>
          <w:lang w:eastAsia="fr-FR"/>
        </w:rPr>
        <w:t>(</w:t>
      </w:r>
      <w:r w:rsidRPr="003160C1">
        <w:rPr>
          <w:rFonts w:eastAsiaTheme="minorEastAsia"/>
          <w:i/>
          <w:sz w:val="18"/>
          <w:szCs w:val="18"/>
          <w:lang w:eastAsia="fr-FR"/>
        </w:rPr>
        <w:t>DGFIP</w:t>
      </w:r>
      <w:r>
        <w:rPr>
          <w:rFonts w:eastAsiaTheme="minorEastAsia"/>
          <w:i/>
          <w:sz w:val="18"/>
          <w:szCs w:val="18"/>
          <w:lang w:eastAsia="fr-FR"/>
        </w:rPr>
        <w:t>)</w:t>
      </w:r>
      <w:r w:rsidRPr="003160C1">
        <w:rPr>
          <w:rFonts w:eastAsiaTheme="minorEastAsia"/>
          <w:i/>
          <w:sz w:val="18"/>
          <w:szCs w:val="18"/>
          <w:lang w:eastAsia="fr-FR"/>
        </w:rPr>
        <w:t xml:space="preserve"> disposera à compter de 2019 d’informations contemporaines sur une grande partie des ressources des assurés.</w:t>
      </w:r>
      <w:r>
        <w:t xml:space="preserve"> </w:t>
      </w:r>
    </w:p>
  </w:footnote>
  <w:footnote w:id="15">
    <w:p w14:paraId="6D3AB96B" w14:textId="63EEC6E2" w:rsidR="00CE4F47" w:rsidRDefault="00CE4F47" w:rsidP="002D5F6C">
      <w:pPr>
        <w:autoSpaceDE w:val="0"/>
        <w:autoSpaceDN w:val="0"/>
        <w:adjustRightInd w:val="0"/>
      </w:pPr>
      <w:r>
        <w:rPr>
          <w:rStyle w:val="Appelnotedebasdep"/>
        </w:rPr>
        <w:footnoteRef/>
      </w:r>
      <w:r>
        <w:t xml:space="preserve"> </w:t>
      </w:r>
      <w:r w:rsidRPr="003160C1">
        <w:rPr>
          <w:rFonts w:eastAsiaTheme="minorEastAsia"/>
          <w:i/>
          <w:sz w:val="18"/>
          <w:szCs w:val="18"/>
          <w:lang w:eastAsia="fr-FR"/>
        </w:rPr>
        <w:t>Selon les données communiquées par la CNAM à la Cour des comptes, 1 390 ETP et 1 460 ETP étaient respectivement cons</w:t>
      </w:r>
      <w:r w:rsidRPr="003160C1">
        <w:rPr>
          <w:rFonts w:eastAsiaTheme="minorEastAsia"/>
          <w:i/>
          <w:sz w:val="18"/>
          <w:szCs w:val="18"/>
          <w:lang w:eastAsia="fr-FR"/>
        </w:rPr>
        <w:t>a</w:t>
      </w:r>
      <w:r w:rsidRPr="003160C1">
        <w:rPr>
          <w:rFonts w:eastAsiaTheme="minorEastAsia"/>
          <w:i/>
          <w:sz w:val="18"/>
          <w:szCs w:val="18"/>
          <w:lang w:eastAsia="fr-FR"/>
        </w:rPr>
        <w:t>crés à l’accueil (physique ou téléphonique) et à l’instruction des demandes de CMU-C et d’ACS en 2013</w:t>
      </w:r>
      <w:r w:rsidRPr="006C361B">
        <w:rPr>
          <w:rFonts w:eastAsiaTheme="minorEastAsia"/>
          <w:sz w:val="18"/>
          <w:szCs w:val="18"/>
          <w:lang w:eastAsia="fr-FR"/>
        </w:rPr>
        <w:t>.</w:t>
      </w:r>
      <w:r w:rsidRPr="00D56370">
        <w:rPr>
          <w:rFonts w:eastAsiaTheme="minorEastAsia"/>
          <w:szCs w:val="20"/>
          <w:lang w:eastAsia="fr-FR"/>
        </w:rPr>
        <w:t xml:space="preserve"> </w:t>
      </w:r>
    </w:p>
  </w:footnote>
  <w:footnote w:id="16">
    <w:p w14:paraId="00E81CF6" w14:textId="4F6C072A" w:rsidR="00CE4F47" w:rsidRDefault="00CE4F47" w:rsidP="004674F9">
      <w:pPr>
        <w:pStyle w:val="Notedebasdepage"/>
      </w:pPr>
      <w:r>
        <w:rPr>
          <w:rStyle w:val="Appelnotedebasdep"/>
        </w:rPr>
        <w:footnoteRef/>
      </w:r>
      <w:r>
        <w:t xml:space="preserve"> </w:t>
      </w:r>
      <w:r w:rsidRPr="006C361B">
        <w:rPr>
          <w:szCs w:val="18"/>
        </w:rPr>
        <w:t>Article L.861-2 du code de la sécurité sociale.</w:t>
      </w:r>
    </w:p>
  </w:footnote>
  <w:footnote w:id="17">
    <w:p w14:paraId="63ABA9CF" w14:textId="5F68B3F3" w:rsidR="00CE4F47" w:rsidRDefault="00CE4F47" w:rsidP="004674F9">
      <w:pPr>
        <w:pStyle w:val="Notedebasdepage"/>
      </w:pPr>
      <w:r>
        <w:rPr>
          <w:rStyle w:val="Appelnotedebasdep"/>
        </w:rPr>
        <w:footnoteRef/>
      </w:r>
      <w:r>
        <w:t xml:space="preserve"> </w:t>
      </w:r>
      <w:r w:rsidRPr="006C361B">
        <w:rPr>
          <w:szCs w:val="18"/>
        </w:rPr>
        <w:t>Soit environ 700 000 personnes non couvertes par la CMU-C sur les 3,5 millions de personnes couvertes par le RSA en d</w:t>
      </w:r>
      <w:r w:rsidRPr="006C361B">
        <w:rPr>
          <w:szCs w:val="18"/>
        </w:rPr>
        <w:t>é</w:t>
      </w:r>
      <w:r w:rsidRPr="006C361B">
        <w:rPr>
          <w:szCs w:val="18"/>
        </w:rPr>
        <w:t>cembre 2017</w:t>
      </w:r>
      <w:r>
        <w:rPr>
          <w:szCs w:val="18"/>
        </w:rPr>
        <w:t>.</w:t>
      </w:r>
    </w:p>
  </w:footnote>
  <w:footnote w:id="18">
    <w:p w14:paraId="4B9E5CFD" w14:textId="77777777" w:rsidR="00CE4F47" w:rsidRDefault="00CE4F47" w:rsidP="004674F9">
      <w:pPr>
        <w:pStyle w:val="Notedebasdepage"/>
      </w:pPr>
      <w:r>
        <w:rPr>
          <w:rStyle w:val="Appelnotedebasdep"/>
        </w:rPr>
        <w:footnoteRef/>
      </w:r>
      <w:r>
        <w:t xml:space="preserve"> </w:t>
      </w:r>
      <w:r w:rsidRPr="006C361B">
        <w:rPr>
          <w:szCs w:val="18"/>
        </w:rPr>
        <w:t>Enquête auprès des bénéficiaires de minimas sociaux 2012 de la DREES. Cf. rapport sur les minimas sociaux et les prestations sociales, édition 2017, DREES.</w:t>
      </w:r>
    </w:p>
  </w:footnote>
  <w:footnote w:id="19">
    <w:p w14:paraId="156245B5" w14:textId="5608DBA6" w:rsidR="00CE4F47" w:rsidRDefault="00CE4F47" w:rsidP="00CD244C">
      <w:pPr>
        <w:pStyle w:val="Notedebasdepage"/>
      </w:pPr>
      <w:r>
        <w:rPr>
          <w:rStyle w:val="Appelnotedebasdep"/>
        </w:rPr>
        <w:footnoteRef/>
      </w:r>
      <w:r>
        <w:t xml:space="preserve"> Estimation Fonds CMU-C.</w:t>
      </w:r>
    </w:p>
  </w:footnote>
  <w:footnote w:id="20">
    <w:p w14:paraId="7618E487" w14:textId="77777777" w:rsidR="00CE4F47" w:rsidRDefault="00CE4F47" w:rsidP="00CD244C">
      <w:pPr>
        <w:pStyle w:val="Notedebasdepage"/>
      </w:pPr>
      <w:r>
        <w:rPr>
          <w:rStyle w:val="Appelnotedebasdep"/>
        </w:rPr>
        <w:footnoteRef/>
      </w:r>
      <w:r>
        <w:t xml:space="preserve"> </w:t>
      </w:r>
      <w:r w:rsidRPr="00F43247">
        <w:t>Minima sociaux et prestations sociales - Ménages aux revenus modestes et redistribution</w:t>
      </w:r>
      <w:r>
        <w:t xml:space="preserve"> – Édition 2016 - DREES</w:t>
      </w:r>
    </w:p>
  </w:footnote>
  <w:footnote w:id="21">
    <w:p w14:paraId="3F6E129C" w14:textId="5A50C363" w:rsidR="00CE4F47" w:rsidRDefault="00CE4F47" w:rsidP="00B34620">
      <w:pPr>
        <w:pStyle w:val="Notedebasdepage"/>
      </w:pPr>
      <w:r>
        <w:rPr>
          <w:rStyle w:val="Appelnotedebasdep"/>
        </w:rPr>
        <w:footnoteRef/>
      </w:r>
      <w:r>
        <w:t xml:space="preserve"> Au 1</w:t>
      </w:r>
      <w:r w:rsidRPr="00274BCA">
        <w:rPr>
          <w:vertAlign w:val="superscript"/>
        </w:rPr>
        <w:t>er</w:t>
      </w:r>
      <w:r>
        <w:t xml:space="preserve"> avril 2018, l’AAH à taux plein (</w:t>
      </w:r>
      <w:r w:rsidRPr="000F4A4C">
        <w:t>aide touchée par un bénéficiaire sans ressource</w:t>
      </w:r>
      <w:r>
        <w:t>s) est de 819 euros. Le montant de l’AAH versé peut être inférieur lorsque l’a personne dispose de ressources (allocation différentielle).</w:t>
      </w:r>
    </w:p>
  </w:footnote>
  <w:footnote w:id="22">
    <w:p w14:paraId="04CFC94F" w14:textId="17915321" w:rsidR="00CE4F47" w:rsidRPr="00181084" w:rsidRDefault="00CE4F47" w:rsidP="00181084">
      <w:pPr>
        <w:pStyle w:val="Corpsdetexte"/>
        <w:rPr>
          <w:rFonts w:eastAsia="Times New Roman"/>
          <w:i/>
          <w:sz w:val="18"/>
          <w:szCs w:val="18"/>
          <w:lang w:eastAsia="fr-FR"/>
        </w:rPr>
      </w:pPr>
      <w:r>
        <w:rPr>
          <w:rStyle w:val="Appelnotedebasdep"/>
        </w:rPr>
        <w:footnoteRef/>
      </w:r>
      <w:r>
        <w:t xml:space="preserve"> </w:t>
      </w:r>
      <w:r w:rsidRPr="00181084">
        <w:rPr>
          <w:rFonts w:eastAsia="Times New Roman"/>
          <w:i/>
          <w:sz w:val="18"/>
          <w:szCs w:val="18"/>
          <w:lang w:eastAsia="fr-FR"/>
        </w:rPr>
        <w:t xml:space="preserve">Source : Médecin du monde, </w:t>
      </w:r>
      <w:r>
        <w:rPr>
          <w:rFonts w:eastAsia="Times New Roman"/>
          <w:i/>
          <w:sz w:val="18"/>
          <w:szCs w:val="18"/>
          <w:lang w:eastAsia="fr-FR"/>
        </w:rPr>
        <w:t>o</w:t>
      </w:r>
      <w:r w:rsidRPr="00181084">
        <w:rPr>
          <w:rFonts w:eastAsia="Times New Roman"/>
          <w:i/>
          <w:sz w:val="18"/>
          <w:szCs w:val="18"/>
          <w:lang w:eastAsia="fr-FR"/>
        </w:rPr>
        <w:t>bservatoire</w:t>
      </w:r>
      <w:r>
        <w:rPr>
          <w:rFonts w:eastAsia="Times New Roman"/>
          <w:i/>
          <w:sz w:val="18"/>
          <w:szCs w:val="18"/>
          <w:lang w:eastAsia="fr-FR"/>
        </w:rPr>
        <w:t xml:space="preserve"> 2016</w:t>
      </w:r>
      <w:r w:rsidRPr="00181084">
        <w:rPr>
          <w:rFonts w:eastAsia="Times New Roman"/>
          <w:i/>
          <w:sz w:val="18"/>
          <w:szCs w:val="18"/>
          <w:lang w:eastAsia="fr-FR"/>
        </w:rPr>
        <w:t xml:space="preserve"> de l’accès aux droits et aux soins de la mission France. </w:t>
      </w:r>
      <w:r w:rsidRPr="00181084">
        <w:rPr>
          <w:i/>
          <w:sz w:val="18"/>
          <w:szCs w:val="18"/>
        </w:rPr>
        <w:t xml:space="preserve">Bien que portant sur une partie seulement de la population, celle qui se présente dans les </w:t>
      </w:r>
      <w:r>
        <w:rPr>
          <w:i/>
          <w:sz w:val="18"/>
          <w:szCs w:val="18"/>
        </w:rPr>
        <w:t>CASO</w:t>
      </w:r>
      <w:r w:rsidRPr="00181084">
        <w:rPr>
          <w:i/>
          <w:sz w:val="18"/>
          <w:szCs w:val="18"/>
        </w:rPr>
        <w:t xml:space="preserve">de Médecins du </w:t>
      </w:r>
      <w:r>
        <w:rPr>
          <w:i/>
          <w:sz w:val="18"/>
          <w:szCs w:val="18"/>
        </w:rPr>
        <w:t>M</w:t>
      </w:r>
      <w:r w:rsidRPr="00181084">
        <w:rPr>
          <w:i/>
          <w:sz w:val="18"/>
          <w:szCs w:val="18"/>
        </w:rPr>
        <w:t>onde, nous reprenons ici ces do</w:t>
      </w:r>
      <w:r w:rsidRPr="00181084">
        <w:rPr>
          <w:i/>
          <w:sz w:val="18"/>
          <w:szCs w:val="18"/>
        </w:rPr>
        <w:t>n</w:t>
      </w:r>
      <w:r w:rsidRPr="00181084">
        <w:rPr>
          <w:i/>
          <w:sz w:val="18"/>
          <w:szCs w:val="18"/>
        </w:rPr>
        <w:t>nées faute de données ou d’études plus larges (cf. partie 5</w:t>
      </w:r>
      <w:r>
        <w:rPr>
          <w:i/>
          <w:sz w:val="18"/>
          <w:szCs w:val="18"/>
        </w:rPr>
        <w:t xml:space="preserve"> sur la nécessité de disposer de suivis et d’analyses sur les pe</w:t>
      </w:r>
      <w:r>
        <w:rPr>
          <w:i/>
          <w:sz w:val="18"/>
          <w:szCs w:val="18"/>
        </w:rPr>
        <w:t>r</w:t>
      </w:r>
      <w:r>
        <w:rPr>
          <w:i/>
          <w:sz w:val="18"/>
          <w:szCs w:val="18"/>
        </w:rPr>
        <w:t>sonnes en situation irrégulière</w:t>
      </w:r>
      <w:r w:rsidRPr="00181084">
        <w:rPr>
          <w:i/>
          <w:sz w:val="18"/>
          <w:szCs w:val="18"/>
        </w:rPr>
        <w:t>).</w:t>
      </w:r>
    </w:p>
  </w:footnote>
  <w:footnote w:id="23">
    <w:p w14:paraId="3D4E3FA8" w14:textId="6B01EAA2" w:rsidR="00CE4F47" w:rsidRDefault="00CE4F47" w:rsidP="001D5DB2">
      <w:pPr>
        <w:pStyle w:val="Notedebasdepage"/>
      </w:pPr>
      <w:r>
        <w:rPr>
          <w:rStyle w:val="Appelnotedebasdep"/>
        </w:rPr>
        <w:footnoteRef/>
      </w:r>
      <w:r>
        <w:t xml:space="preserve"> </w:t>
      </w:r>
      <w:r w:rsidRPr="006C361B">
        <w:rPr>
          <w:szCs w:val="18"/>
        </w:rPr>
        <w:t xml:space="preserve">Cf. rapport de l’IGAS d’évaluation de la </w:t>
      </w:r>
      <w:r>
        <w:rPr>
          <w:szCs w:val="18"/>
        </w:rPr>
        <w:t>c</w:t>
      </w:r>
      <w:r w:rsidRPr="00AA5053">
        <w:rPr>
          <w:szCs w:val="18"/>
        </w:rPr>
        <w:t xml:space="preserve">onvention d'objectifs et de gestion </w:t>
      </w:r>
      <w:r>
        <w:rPr>
          <w:szCs w:val="18"/>
        </w:rPr>
        <w:t>(</w:t>
      </w:r>
      <w:r w:rsidRPr="006C361B">
        <w:rPr>
          <w:szCs w:val="18"/>
        </w:rPr>
        <w:t>COG</w:t>
      </w:r>
      <w:r>
        <w:rPr>
          <w:szCs w:val="18"/>
        </w:rPr>
        <w:t>) entre l’Etat et la</w:t>
      </w:r>
      <w:r w:rsidRPr="006C361B">
        <w:rPr>
          <w:szCs w:val="18"/>
        </w:rPr>
        <w:t xml:space="preserve"> CNAM</w:t>
      </w:r>
    </w:p>
  </w:footnote>
  <w:footnote w:id="24">
    <w:p w14:paraId="497389F8" w14:textId="3D2EE0FF" w:rsidR="00CE4F47" w:rsidRDefault="00CE4F47">
      <w:pPr>
        <w:pStyle w:val="Notedebasdepage"/>
      </w:pPr>
      <w:r>
        <w:rPr>
          <w:rStyle w:val="Appelnotedebasdep"/>
        </w:rPr>
        <w:footnoteRef/>
      </w:r>
      <w:r>
        <w:t xml:space="preserve"> Soit un niveau de ressources inférieur au seuil de pauvreté ; ce seuil s’établit à 1 008 euros par mois pour une personne seule en 2014 (60% du niveau de vie médian).</w:t>
      </w:r>
    </w:p>
  </w:footnote>
  <w:footnote w:id="25">
    <w:p w14:paraId="28278688" w14:textId="7326BF22" w:rsidR="00CE4F47" w:rsidRDefault="00CE4F47">
      <w:pPr>
        <w:pStyle w:val="Notedebasdepage"/>
      </w:pPr>
      <w:r>
        <w:rPr>
          <w:rStyle w:val="Appelnotedebasdep"/>
        </w:rPr>
        <w:footnoteRef/>
      </w:r>
      <w:r>
        <w:t xml:space="preserve"> Hormis les médicaments à service médical faible ou modéré</w:t>
      </w:r>
    </w:p>
  </w:footnote>
  <w:footnote w:id="26">
    <w:p w14:paraId="7DECF15C" w14:textId="4A7A5F77" w:rsidR="00CE4F47" w:rsidRDefault="00CE4F47" w:rsidP="0015646A">
      <w:pPr>
        <w:pStyle w:val="Notedebasdepage"/>
      </w:pPr>
      <w:r>
        <w:rPr>
          <w:rStyle w:val="Appelnotedebasdep"/>
        </w:rPr>
        <w:footnoteRef/>
      </w:r>
      <w:r>
        <w:t xml:space="preserve"> </w:t>
      </w:r>
      <w:r w:rsidRPr="006C361B">
        <w:rPr>
          <w:szCs w:val="18"/>
        </w:rPr>
        <w:t>« L’accès aux soins courants et préventifs des personnes en situation de handicap en France », rapport de l’IRDES n°560, juin 2015 (</w:t>
      </w:r>
      <w:r>
        <w:rPr>
          <w:szCs w:val="18"/>
        </w:rPr>
        <w:t>cf.</w:t>
      </w:r>
      <w:r w:rsidRPr="006C361B">
        <w:rPr>
          <w:szCs w:val="18"/>
        </w:rPr>
        <w:t xml:space="preserve"> annexe </w:t>
      </w:r>
      <w:r>
        <w:rPr>
          <w:szCs w:val="18"/>
        </w:rPr>
        <w:t>5</w:t>
      </w:r>
      <w:r w:rsidRPr="006C361B">
        <w:rPr>
          <w:szCs w:val="18"/>
        </w:rPr>
        <w:t>)</w:t>
      </w:r>
    </w:p>
  </w:footnote>
  <w:footnote w:id="27">
    <w:p w14:paraId="05F454C1" w14:textId="0927DED4" w:rsidR="00CE4F47" w:rsidRDefault="00CE4F47" w:rsidP="00B443F8">
      <w:pPr>
        <w:pStyle w:val="Notedebasdepage"/>
      </w:pPr>
      <w:r>
        <w:rPr>
          <w:rStyle w:val="Appelnotedebasdep"/>
        </w:rPr>
        <w:footnoteRef/>
      </w:r>
      <w:r>
        <w:t xml:space="preserve"> Rapport </w:t>
      </w:r>
      <w:r w:rsidRPr="00FA25AA">
        <w:t>sur la simplification du parcours administratif</w:t>
      </w:r>
      <w:r>
        <w:t xml:space="preserve"> des personnes en situation de handicap.</w:t>
      </w:r>
    </w:p>
  </w:footnote>
  <w:footnote w:id="28">
    <w:p w14:paraId="09642D2F" w14:textId="3997097C" w:rsidR="00CE4F47" w:rsidRDefault="00CE4F47" w:rsidP="00B443F8">
      <w:r>
        <w:rPr>
          <w:rStyle w:val="Appelnotedebasdep"/>
        </w:rPr>
        <w:footnoteRef/>
      </w:r>
      <w:r>
        <w:t xml:space="preserve"> </w:t>
      </w:r>
      <w:r w:rsidRPr="00744783">
        <w:rPr>
          <w:rFonts w:eastAsia="Times New Roman"/>
          <w:i/>
          <w:sz w:val="18"/>
          <w:szCs w:val="20"/>
          <w:lang w:eastAsia="fr-FR"/>
        </w:rPr>
        <w:t xml:space="preserve">20 </w:t>
      </w:r>
      <w:r>
        <w:rPr>
          <w:rFonts w:eastAsia="Times New Roman"/>
          <w:i/>
          <w:sz w:val="18"/>
          <w:szCs w:val="20"/>
          <w:lang w:eastAsia="fr-FR"/>
        </w:rPr>
        <w:t>euros</w:t>
      </w:r>
      <w:r w:rsidRPr="00744783">
        <w:rPr>
          <w:rFonts w:eastAsia="Times New Roman"/>
          <w:i/>
          <w:sz w:val="18"/>
          <w:szCs w:val="20"/>
          <w:lang w:eastAsia="fr-FR"/>
        </w:rPr>
        <w:t xml:space="preserve"> par jour en hôpital ou en clinique ; 15 </w:t>
      </w:r>
      <w:r>
        <w:rPr>
          <w:rFonts w:eastAsia="Times New Roman"/>
          <w:i/>
          <w:sz w:val="18"/>
          <w:szCs w:val="20"/>
          <w:lang w:eastAsia="fr-FR"/>
        </w:rPr>
        <w:t>euros</w:t>
      </w:r>
      <w:r w:rsidRPr="00744783">
        <w:rPr>
          <w:rFonts w:eastAsia="Times New Roman"/>
          <w:i/>
          <w:sz w:val="18"/>
          <w:szCs w:val="20"/>
          <w:lang w:eastAsia="fr-FR"/>
        </w:rPr>
        <w:t xml:space="preserve"> par jour dans le service psychiatrique d'un établissement de santé.</w:t>
      </w:r>
    </w:p>
  </w:footnote>
  <w:footnote w:id="29">
    <w:p w14:paraId="632618F9" w14:textId="50C74ED3" w:rsidR="00CE4F47" w:rsidRDefault="00CE4F47" w:rsidP="00067BF9">
      <w:pPr>
        <w:pStyle w:val="Notedebasdepage"/>
      </w:pPr>
      <w:r>
        <w:rPr>
          <w:rStyle w:val="Appelnotedebasdep"/>
        </w:rPr>
        <w:footnoteRef/>
      </w:r>
      <w:r>
        <w:t xml:space="preserve"> Environ 120 000 personnes.</w:t>
      </w:r>
    </w:p>
  </w:footnote>
  <w:footnote w:id="30">
    <w:p w14:paraId="4798EB70" w14:textId="7126C118" w:rsidR="00CE4F47" w:rsidRDefault="00CE4F47" w:rsidP="00067BF9">
      <w:pPr>
        <w:pStyle w:val="Notedebasdepage"/>
      </w:pPr>
      <w:r>
        <w:rPr>
          <w:rStyle w:val="Appelnotedebasdep"/>
        </w:rPr>
        <w:footnoteRef/>
      </w:r>
      <w:r>
        <w:t xml:space="preserve"> </w:t>
      </w:r>
      <w:r w:rsidRPr="000F4A4C">
        <w:t>Elle peut résulter de conventions, d'accords collectifs ou de décisions unilatérales de l'E</w:t>
      </w:r>
      <w:r>
        <w:t>SAT</w:t>
      </w:r>
      <w:r w:rsidRPr="000F4A4C">
        <w:t xml:space="preserve"> constatées par un écrit remis à chaque travailleur handicapé. C'est le règlement intérieur de l'E</w:t>
      </w:r>
      <w:r>
        <w:t>SAT</w:t>
      </w:r>
      <w:r w:rsidRPr="000F4A4C">
        <w:t xml:space="preserve"> qui</w:t>
      </w:r>
      <w:r w:rsidRPr="004A3C9B">
        <w:rPr>
          <w:sz w:val="22"/>
          <w:szCs w:val="22"/>
        </w:rPr>
        <w:t xml:space="preserve"> </w:t>
      </w:r>
      <w:r w:rsidRPr="000F4A4C">
        <w:t xml:space="preserve">précise généralement l'existence d'un tel accord collectif et si l'adhésion à la </w:t>
      </w:r>
      <w:r>
        <w:t>complémentaire santé</w:t>
      </w:r>
      <w:r w:rsidRPr="000F4A4C">
        <w:t xml:space="preserve"> est obligatoire ou facultative pour les travailleurs handicapés us</w:t>
      </w:r>
      <w:r w:rsidRPr="000F4A4C">
        <w:t>a</w:t>
      </w:r>
      <w:r w:rsidRPr="000F4A4C">
        <w:t>gers de l'E</w:t>
      </w:r>
      <w:r>
        <w:t>SAT</w:t>
      </w:r>
      <w:r w:rsidRPr="000F4A4C">
        <w:t>.</w:t>
      </w:r>
    </w:p>
  </w:footnote>
  <w:footnote w:id="31">
    <w:p w14:paraId="508CFF81" w14:textId="77777777" w:rsidR="00CE4F47" w:rsidRDefault="00CE4F47" w:rsidP="001B7F00">
      <w:pPr>
        <w:pStyle w:val="Notedebasdepage"/>
      </w:pPr>
      <w:r>
        <w:rPr>
          <w:rStyle w:val="Appelnotedebasdep"/>
        </w:rPr>
        <w:footnoteRef/>
      </w:r>
      <w:r>
        <w:t xml:space="preserve"> Rapport annuel sur l’aide au paiement d’une complémentaire santé, octobre 2017, Fonds CMU</w:t>
      </w:r>
      <w:r>
        <w:softHyphen/>
      </w:r>
      <w:r>
        <w:noBreakHyphen/>
        <w:t>C</w:t>
      </w:r>
    </w:p>
  </w:footnote>
  <w:footnote w:id="32">
    <w:p w14:paraId="4C32CD35" w14:textId="77777777" w:rsidR="00CE4F47" w:rsidRDefault="00CE4F47" w:rsidP="001B7F00">
      <w:pPr>
        <w:pStyle w:val="Notedebasdepage"/>
      </w:pPr>
      <w:r>
        <w:rPr>
          <w:rStyle w:val="Appelnotedebasdep"/>
        </w:rPr>
        <w:footnoteRef/>
      </w:r>
      <w:r>
        <w:t xml:space="preserve"> Ce taux de recours n’intègre pas les 20% qui n’utilisent pas le « chèque » ACS.</w:t>
      </w:r>
    </w:p>
  </w:footnote>
  <w:footnote w:id="33">
    <w:p w14:paraId="53F73FD2" w14:textId="77777777" w:rsidR="00CE4F47" w:rsidRDefault="00CE4F47" w:rsidP="001B7F00">
      <w:pPr>
        <w:pStyle w:val="Notedebasdepage"/>
      </w:pPr>
      <w:r>
        <w:rPr>
          <w:rStyle w:val="Appelnotedebasdep"/>
        </w:rPr>
        <w:footnoteRef/>
      </w:r>
      <w:r>
        <w:t xml:space="preserve"> Estimation fonds CMU-C sur la base des taux de recours de la DREES.</w:t>
      </w:r>
    </w:p>
  </w:footnote>
  <w:footnote w:id="34">
    <w:p w14:paraId="266180DF" w14:textId="4BC780D4" w:rsidR="00CE4F47" w:rsidRDefault="00CE4F47">
      <w:pPr>
        <w:pStyle w:val="Notedebasdepage"/>
      </w:pPr>
      <w:r>
        <w:rPr>
          <w:rStyle w:val="Appelnotedebasdep"/>
        </w:rPr>
        <w:footnoteRef/>
      </w:r>
      <w:r>
        <w:t xml:space="preserve"> Le montant de l’AAH étant supérieur au plafond de ressources de la CMU</w:t>
      </w:r>
      <w:r>
        <w:noBreakHyphen/>
        <w:t>C, une personne bénéficiaire de l’AAH vivant seule n’est pas éligible à la CMU</w:t>
      </w:r>
      <w:r>
        <w:noBreakHyphen/>
        <w:t>C. Lorsqu’ils ne vivent pas seuls, certains bénéficiaires de l’AAH sont éligibles à la CMU</w:t>
      </w:r>
      <w:r>
        <w:softHyphen/>
        <w:t>-C en raison de la composition de leur foyer. Leur part serait toutefois limitée, de l’ordre de 10% (cf. Abrossimov C. et Chérèque F., (2014)).</w:t>
      </w:r>
    </w:p>
  </w:footnote>
  <w:footnote w:id="35">
    <w:p w14:paraId="03A751C3" w14:textId="1ED1F7BD" w:rsidR="00CE4F47" w:rsidRDefault="00CE4F47" w:rsidP="006E7698">
      <w:pPr>
        <w:pStyle w:val="Notedebasdepage"/>
      </w:pPr>
      <w:r>
        <w:rPr>
          <w:rStyle w:val="Appelnotedebasdep"/>
        </w:rPr>
        <w:footnoteRef/>
      </w:r>
      <w:r>
        <w:t xml:space="preserve"> </w:t>
      </w:r>
      <w:r>
        <w:rPr>
          <w:color w:val="000000"/>
          <w:sz w:val="16"/>
          <w:szCs w:val="16"/>
        </w:rPr>
        <w:t xml:space="preserve">Depuis 2012 </w:t>
      </w:r>
      <w:r w:rsidRPr="00FF3E9D">
        <w:rPr>
          <w:color w:val="000000"/>
          <w:sz w:val="16"/>
          <w:szCs w:val="16"/>
        </w:rPr>
        <w:t xml:space="preserve">en </w:t>
      </w:r>
      <w:r w:rsidRPr="00DF53E5">
        <w:rPr>
          <w:color w:val="000000"/>
          <w:sz w:val="16"/>
          <w:szCs w:val="16"/>
        </w:rPr>
        <w:t xml:space="preserve">application de </w:t>
      </w:r>
      <w:r>
        <w:rPr>
          <w:color w:val="000000"/>
          <w:sz w:val="16"/>
          <w:szCs w:val="16"/>
        </w:rPr>
        <w:t>l’avenant numéro 8 à la convention des médecins libéraux. La dernière convention nationale des médecins libéraux de 2016 - que l’ensemble des syndicats représentatifs des médecins libéraux ont signé - réaffirme cette disposition « </w:t>
      </w:r>
      <w:r w:rsidRPr="006E7698">
        <w:rPr>
          <w:color w:val="000000"/>
          <w:sz w:val="16"/>
          <w:szCs w:val="16"/>
        </w:rPr>
        <w:t xml:space="preserve">les médecins </w:t>
      </w:r>
      <w:r>
        <w:rPr>
          <w:color w:val="000000"/>
          <w:sz w:val="16"/>
          <w:szCs w:val="16"/>
        </w:rPr>
        <w:t xml:space="preserve">[…] </w:t>
      </w:r>
      <w:r w:rsidRPr="006E7698">
        <w:rPr>
          <w:color w:val="000000"/>
          <w:sz w:val="16"/>
          <w:szCs w:val="16"/>
        </w:rPr>
        <w:t>pratiquent leurs actes aux tarifs opposables, pour</w:t>
      </w:r>
      <w:r>
        <w:rPr>
          <w:color w:val="000000"/>
          <w:sz w:val="16"/>
          <w:szCs w:val="16"/>
        </w:rPr>
        <w:t xml:space="preserve"> </w:t>
      </w:r>
      <w:r w:rsidRPr="006E7698">
        <w:rPr>
          <w:color w:val="000000"/>
          <w:sz w:val="16"/>
          <w:szCs w:val="16"/>
        </w:rPr>
        <w:t>les patients disposant de l’attestation de droit à l’aide à l’acquisition d’une complémentaire santé</w:t>
      </w:r>
      <w:r>
        <w:rPr>
          <w:color w:val="000000"/>
          <w:sz w:val="16"/>
          <w:szCs w:val="16"/>
        </w:rPr>
        <w:t xml:space="preserve"> </w:t>
      </w:r>
      <w:r w:rsidRPr="006E7698">
        <w:rPr>
          <w:color w:val="000000"/>
          <w:sz w:val="16"/>
          <w:szCs w:val="16"/>
        </w:rPr>
        <w:t>(ACS)</w:t>
      </w:r>
      <w:r>
        <w:rPr>
          <w:color w:val="000000"/>
          <w:sz w:val="16"/>
          <w:szCs w:val="16"/>
        </w:rPr>
        <w:t> »</w:t>
      </w:r>
      <w:r w:rsidRPr="00DF53E5">
        <w:rPr>
          <w:color w:val="000000"/>
          <w:sz w:val="16"/>
          <w:szCs w:val="16"/>
        </w:rPr>
        <w:t>.</w:t>
      </w:r>
    </w:p>
  </w:footnote>
  <w:footnote w:id="36">
    <w:p w14:paraId="710C828B" w14:textId="12CAA295" w:rsidR="00CE4F47" w:rsidRDefault="00CE4F47">
      <w:pPr>
        <w:pStyle w:val="Notedebasdepage"/>
      </w:pPr>
      <w:r>
        <w:rPr>
          <w:rStyle w:val="Appelnotedebasdep"/>
        </w:rPr>
        <w:footnoteRef/>
      </w:r>
      <w:r>
        <w:t xml:space="preserve"> </w:t>
      </w:r>
      <w:r>
        <w:rPr>
          <w:color w:val="000000"/>
          <w:sz w:val="16"/>
          <w:szCs w:val="16"/>
        </w:rPr>
        <w:t>L</w:t>
      </w:r>
      <w:r w:rsidRPr="00DF53E5">
        <w:rPr>
          <w:color w:val="000000"/>
          <w:sz w:val="16"/>
          <w:szCs w:val="16"/>
        </w:rPr>
        <w:t xml:space="preserve">e taux de dépassement (dépassement sur base de remboursement) est de 0,4% pour les bénéficiaires d’attestations ayant souscrit un contrat ACS (contrat A, B ou C) et de 0,8% pour ceux qui </w:t>
      </w:r>
      <w:r>
        <w:rPr>
          <w:color w:val="000000"/>
          <w:sz w:val="16"/>
          <w:szCs w:val="16"/>
        </w:rPr>
        <w:t>bénéficient du droit mais n’ont pas souscrit de contrat ACS.</w:t>
      </w:r>
    </w:p>
  </w:footnote>
  <w:footnote w:id="37">
    <w:p w14:paraId="721BF898" w14:textId="6518EC45" w:rsidR="00CE4F47" w:rsidRDefault="00CE4F47">
      <w:pPr>
        <w:pStyle w:val="Notedebasdepage"/>
      </w:pPr>
      <w:r>
        <w:rPr>
          <w:rStyle w:val="Appelnotedebasdep"/>
        </w:rPr>
        <w:footnoteRef/>
      </w:r>
      <w:r>
        <w:t xml:space="preserve"> </w:t>
      </w:r>
      <w:r>
        <w:rPr>
          <w:color w:val="000000"/>
          <w:sz w:val="16"/>
          <w:szCs w:val="16"/>
        </w:rPr>
        <w:t>L</w:t>
      </w:r>
      <w:r w:rsidRPr="00DF53E5">
        <w:rPr>
          <w:color w:val="000000"/>
          <w:sz w:val="16"/>
          <w:szCs w:val="16"/>
        </w:rPr>
        <w:t>e taux de dépassement s’établit à 11% pour les détenteurs de contrats ACS et à 24,5% pour les bénéficiaires de la seule attestation ACS.</w:t>
      </w:r>
    </w:p>
  </w:footnote>
  <w:footnote w:id="38">
    <w:p w14:paraId="4F5845C3" w14:textId="3C5A1775" w:rsidR="00CE4F47" w:rsidRDefault="00CE4F47" w:rsidP="009D057C">
      <w:pPr>
        <w:pStyle w:val="Notedebasdepage"/>
      </w:pPr>
      <w:r>
        <w:rPr>
          <w:rStyle w:val="Appelnotedebasdep"/>
        </w:rPr>
        <w:footnoteRef/>
      </w:r>
      <w:r>
        <w:t xml:space="preserve"> </w:t>
      </w:r>
      <w:r w:rsidRPr="006C361B">
        <w:rPr>
          <w:rFonts w:eastAsiaTheme="minorHAnsi"/>
          <w:szCs w:val="18"/>
          <w:lang w:eastAsia="en-US"/>
        </w:rPr>
        <w:t xml:space="preserve">En 2014, </w:t>
      </w:r>
      <w:r>
        <w:rPr>
          <w:rFonts w:eastAsiaTheme="minorHAnsi"/>
          <w:szCs w:val="18"/>
          <w:lang w:eastAsia="en-US"/>
        </w:rPr>
        <w:t>l</w:t>
      </w:r>
      <w:r w:rsidRPr="006C361B">
        <w:rPr>
          <w:rFonts w:eastAsiaTheme="minorHAnsi"/>
          <w:szCs w:val="18"/>
          <w:lang w:eastAsia="en-US"/>
        </w:rPr>
        <w:t>es coûts d’hospitalisation constituaient plus de 70% de la dépense totale contre 50% pour les assurés sociaux</w:t>
      </w:r>
      <w:r>
        <w:rPr>
          <w:rFonts w:eastAsiaTheme="minorHAnsi"/>
          <w:szCs w:val="18"/>
          <w:lang w:eastAsia="en-US"/>
        </w:rPr>
        <w:t>.</w:t>
      </w:r>
    </w:p>
  </w:footnote>
  <w:footnote w:id="39">
    <w:p w14:paraId="087927F4" w14:textId="6742A729" w:rsidR="00CE4F47" w:rsidRDefault="00CE4F47" w:rsidP="009D057C">
      <w:pPr>
        <w:pStyle w:val="Notedebasdepage"/>
      </w:pPr>
      <w:r>
        <w:rPr>
          <w:rStyle w:val="Appelnotedebasdep"/>
        </w:rPr>
        <w:footnoteRef/>
      </w:r>
      <w:r>
        <w:t xml:space="preserve"> </w:t>
      </w:r>
      <w:r w:rsidRPr="006C361B">
        <w:rPr>
          <w:rFonts w:eastAsiaTheme="minorHAnsi"/>
          <w:szCs w:val="18"/>
          <w:lang w:eastAsia="en-US"/>
        </w:rPr>
        <w:t>La CNAM avait mené une étude à l’automne 2014 sur le recours aux soins comparés des bénéficiaires de l’AME, la CMU-C et le régime général en 2012.</w:t>
      </w:r>
    </w:p>
  </w:footnote>
  <w:footnote w:id="40">
    <w:p w14:paraId="7EC89A41" w14:textId="77777777" w:rsidR="00CE4F47" w:rsidRDefault="00CE4F47" w:rsidP="009D057C">
      <w:pPr>
        <w:pStyle w:val="Notedebasdepage"/>
      </w:pPr>
      <w:r>
        <w:rPr>
          <w:rStyle w:val="Appelnotedebasdep"/>
        </w:rPr>
        <w:footnoteRef/>
      </w:r>
      <w:r>
        <w:t xml:space="preserve"> </w:t>
      </w:r>
      <w:r w:rsidRPr="006C361B">
        <w:rPr>
          <w:szCs w:val="18"/>
        </w:rPr>
        <w:t xml:space="preserve">Rapport </w:t>
      </w:r>
      <w:r>
        <w:rPr>
          <w:szCs w:val="18"/>
        </w:rPr>
        <w:t xml:space="preserve">d’information sur la mise en œuvre des conclusions du rapport d’information n°3524 du 9 juin 2011 sur l’évaluation de l’aide médicale de l’Etat, </w:t>
      </w:r>
      <w:r w:rsidRPr="006C361B">
        <w:rPr>
          <w:szCs w:val="18"/>
        </w:rPr>
        <w:t>Claude Goasguen</w:t>
      </w:r>
      <w:r>
        <w:rPr>
          <w:szCs w:val="18"/>
        </w:rPr>
        <w:t xml:space="preserve"> et Christophe Sirugue, 2015</w:t>
      </w:r>
    </w:p>
  </w:footnote>
  <w:footnote w:id="41">
    <w:p w14:paraId="38C18AB4" w14:textId="0313D0ED" w:rsidR="00CE4F47" w:rsidRDefault="00CE4F47" w:rsidP="0057371A">
      <w:r>
        <w:rPr>
          <w:rStyle w:val="Appelnotedebasdep"/>
        </w:rPr>
        <w:footnoteRef/>
      </w:r>
      <w:r>
        <w:t xml:space="preserve"> </w:t>
      </w:r>
      <w:r w:rsidRPr="003160C1">
        <w:rPr>
          <w:rFonts w:eastAsiaTheme="minorEastAsia"/>
          <w:i/>
          <w:sz w:val="18"/>
          <w:szCs w:val="18"/>
          <w:lang w:eastAsia="fr-FR"/>
        </w:rPr>
        <w:t>Il n’y a par ailleurs pas de bénéficiaires «soins urgents</w:t>
      </w:r>
      <w:r w:rsidRPr="003160C1">
        <w:rPr>
          <w:rFonts w:ascii="Arial" w:eastAsia="Times New Roman" w:hAnsi="Arial" w:cs="Arial"/>
          <w:i/>
          <w:sz w:val="18"/>
          <w:szCs w:val="18"/>
          <w:lang w:eastAsia="fr-FR"/>
        </w:rPr>
        <w:t xml:space="preserve">» </w:t>
      </w:r>
      <w:r w:rsidRPr="003160C1">
        <w:rPr>
          <w:rFonts w:eastAsiaTheme="minorEastAsia"/>
          <w:i/>
          <w:sz w:val="18"/>
          <w:szCs w:val="18"/>
          <w:lang w:eastAsia="fr-FR"/>
        </w:rPr>
        <w:t>identifiés. Les dépenses correspondent à la prise en charge de frais de séjour hospitaliers, qui ne sont pas rattachés à des individus puisque ceux-ci, par définition, ne sont pas affiliés à un dispositif de prise en charge des frais de santé. Toutefois, le passage à la tarification de droit commun en 2015 permet désormais de déno</w:t>
      </w:r>
      <w:r w:rsidRPr="003160C1">
        <w:rPr>
          <w:rFonts w:eastAsiaTheme="minorEastAsia"/>
          <w:i/>
          <w:sz w:val="18"/>
          <w:szCs w:val="18"/>
          <w:lang w:eastAsia="fr-FR"/>
        </w:rPr>
        <w:t>m</w:t>
      </w:r>
      <w:r w:rsidRPr="003160C1">
        <w:rPr>
          <w:rFonts w:eastAsiaTheme="minorEastAsia"/>
          <w:i/>
          <w:sz w:val="18"/>
          <w:szCs w:val="18"/>
          <w:lang w:eastAsia="fr-FR"/>
        </w:rPr>
        <w:t>brer les hospitalisations au titre des «soins urgents» sur le champ médecine-chirurgie-obstétrique</w:t>
      </w:r>
      <w:r>
        <w:rPr>
          <w:rFonts w:eastAsiaTheme="minorEastAsia"/>
          <w:i/>
          <w:sz w:val="18"/>
          <w:szCs w:val="18"/>
          <w:lang w:eastAsia="fr-FR"/>
        </w:rPr>
        <w:t xml:space="preserve"> </w:t>
      </w:r>
      <w:r w:rsidRPr="003160C1">
        <w:rPr>
          <w:rFonts w:eastAsiaTheme="minorEastAsia"/>
          <w:i/>
          <w:sz w:val="18"/>
          <w:szCs w:val="18"/>
          <w:lang w:eastAsia="fr-FR"/>
        </w:rPr>
        <w:t>: 8 981 séjours et 2 153 séances ont été pris en charge en 2016 dans 239 établissements publics de santé (hors Mayotte). (Cf. PAP PLF 2018)</w:t>
      </w:r>
      <w:r>
        <w:rPr>
          <w:rFonts w:eastAsiaTheme="minorEastAsia"/>
          <w:i/>
          <w:sz w:val="18"/>
          <w:szCs w:val="18"/>
          <w:lang w:eastAsia="fr-FR"/>
        </w:rPr>
        <w:t>.</w:t>
      </w:r>
    </w:p>
  </w:footnote>
  <w:footnote w:id="42">
    <w:p w14:paraId="45B86AA2" w14:textId="3C0916B8" w:rsidR="00CE4F47" w:rsidRDefault="00CE4F47" w:rsidP="00415FE3">
      <w:pPr>
        <w:pStyle w:val="Notedebasdepage"/>
      </w:pPr>
      <w:r>
        <w:rPr>
          <w:rStyle w:val="Appelnotedebasdep"/>
        </w:rPr>
        <w:footnoteRef/>
      </w:r>
      <w:r>
        <w:t xml:space="preserve"> Circulaire N°DGS/SP1/DGOS/SDR4/DSS/SD2/DGCS/2018/143 du 8 juin 2018 relative à la mise en place du parcours de santé des migrants primo-arrivants</w:t>
      </w:r>
    </w:p>
  </w:footnote>
  <w:footnote w:id="43">
    <w:p w14:paraId="4AF30764" w14:textId="2A42BF55" w:rsidR="00CE4F47" w:rsidRDefault="00CE4F47" w:rsidP="00974C89">
      <w:pPr>
        <w:pStyle w:val="Notedebasdepage"/>
      </w:pPr>
      <w:r>
        <w:rPr>
          <w:rStyle w:val="Appelnotedebasdep"/>
        </w:rPr>
        <w:footnoteRef/>
      </w:r>
      <w:r>
        <w:t xml:space="preserve"> </w:t>
      </w:r>
      <w:r w:rsidRPr="006C361B">
        <w:rPr>
          <w:szCs w:val="18"/>
        </w:rPr>
        <w:t xml:space="preserve">Au 31 mars 2018, 71 CPAM avaient déployé </w:t>
      </w:r>
      <w:r>
        <w:rPr>
          <w:szCs w:val="18"/>
        </w:rPr>
        <w:t>PFIDASS</w:t>
      </w:r>
      <w:r w:rsidRPr="006C361B">
        <w:rPr>
          <w:szCs w:val="18"/>
        </w:rPr>
        <w:t xml:space="preserve"> et plus de 35 400 assurés en avaient bénéficié.</w:t>
      </w:r>
      <w:r>
        <w:rPr>
          <w:szCs w:val="18"/>
        </w:rPr>
        <w:t xml:space="preserve"> </w:t>
      </w:r>
      <w:r w:rsidRPr="006C361B">
        <w:rPr>
          <w:szCs w:val="18"/>
        </w:rPr>
        <w:t>Parmi les accompagn</w:t>
      </w:r>
      <w:r w:rsidRPr="006C361B">
        <w:rPr>
          <w:szCs w:val="18"/>
        </w:rPr>
        <w:t>e</w:t>
      </w:r>
      <w:r w:rsidRPr="006C361B">
        <w:rPr>
          <w:szCs w:val="18"/>
        </w:rPr>
        <w:t>ments clôturés, près d'un dossier sur deux a abouti à une réalisation des soins, 12 701 assurés ont vu leurs droits ouverts, 6 030 ont été mieux orientés dans le système de soins, 4 480 ont bénéficié d'un accompagnement financier, et 1 392 assurés ont pu bénéficier d'une orientation vers un partenaire.</w:t>
      </w:r>
    </w:p>
  </w:footnote>
  <w:footnote w:id="44">
    <w:p w14:paraId="7BE75902" w14:textId="5036FB77" w:rsidR="00CE4F47" w:rsidRDefault="00CE4F47" w:rsidP="002C524F">
      <w:pPr>
        <w:pStyle w:val="Notedebasdepage"/>
      </w:pPr>
      <w:r>
        <w:rPr>
          <w:rStyle w:val="Appelnotedebasdep"/>
        </w:rPr>
        <w:footnoteRef/>
      </w:r>
      <w:r>
        <w:t xml:space="preserve"> </w:t>
      </w:r>
      <w:r>
        <w:rPr>
          <w:szCs w:val="18"/>
        </w:rPr>
        <w:t>L</w:t>
      </w:r>
      <w:r w:rsidRPr="006C361B">
        <w:rPr>
          <w:szCs w:val="18"/>
        </w:rPr>
        <w:t>a mise en place d’</w:t>
      </w:r>
      <w:r w:rsidRPr="006C361B">
        <w:rPr>
          <w:rFonts w:eastAsiaTheme="minorHAnsi"/>
          <w:szCs w:val="18"/>
        </w:rPr>
        <w:t>un système d’information commun aux MDPH devrait notamment permettre à terme de d</w:t>
      </w:r>
      <w:r w:rsidRPr="006C361B">
        <w:rPr>
          <w:rFonts w:eastAsiaTheme="minorHAnsi" w:hint="eastAsia"/>
          <w:szCs w:val="18"/>
        </w:rPr>
        <w:t>é</w:t>
      </w:r>
      <w:r w:rsidRPr="006C361B">
        <w:rPr>
          <w:rFonts w:eastAsiaTheme="minorHAnsi"/>
          <w:szCs w:val="18"/>
        </w:rPr>
        <w:t xml:space="preserve">velopper les </w:t>
      </w:r>
      <w:r w:rsidRPr="006C361B">
        <w:rPr>
          <w:rFonts w:eastAsiaTheme="minorHAnsi" w:hint="eastAsia"/>
          <w:szCs w:val="18"/>
        </w:rPr>
        <w:t>é</w:t>
      </w:r>
      <w:r w:rsidRPr="006C361B">
        <w:rPr>
          <w:rFonts w:eastAsiaTheme="minorHAnsi"/>
          <w:szCs w:val="18"/>
        </w:rPr>
        <w:t>changes d</w:t>
      </w:r>
      <w:r>
        <w:rPr>
          <w:rFonts w:eastAsiaTheme="minorHAnsi"/>
          <w:szCs w:val="18"/>
        </w:rPr>
        <w:t>’i</w:t>
      </w:r>
      <w:r w:rsidRPr="006C361B">
        <w:rPr>
          <w:rFonts w:eastAsiaTheme="minorHAnsi"/>
          <w:szCs w:val="18"/>
        </w:rPr>
        <w:t>nformation d</w:t>
      </w:r>
      <w:r w:rsidRPr="006C361B">
        <w:rPr>
          <w:rFonts w:eastAsiaTheme="minorHAnsi" w:hint="eastAsia"/>
          <w:szCs w:val="18"/>
        </w:rPr>
        <w:t>é</w:t>
      </w:r>
      <w:r w:rsidRPr="006C361B">
        <w:rPr>
          <w:rFonts w:eastAsiaTheme="minorHAnsi"/>
          <w:szCs w:val="18"/>
        </w:rPr>
        <w:t>mat</w:t>
      </w:r>
      <w:r w:rsidRPr="006C361B">
        <w:rPr>
          <w:rFonts w:eastAsiaTheme="minorHAnsi" w:hint="eastAsia"/>
          <w:szCs w:val="18"/>
        </w:rPr>
        <w:t>é</w:t>
      </w:r>
      <w:r w:rsidRPr="006C361B">
        <w:rPr>
          <w:rFonts w:eastAsiaTheme="minorHAnsi"/>
          <w:szCs w:val="18"/>
        </w:rPr>
        <w:t>rialis</w:t>
      </w:r>
      <w:r w:rsidRPr="006C361B">
        <w:rPr>
          <w:rFonts w:eastAsiaTheme="minorHAnsi" w:hint="eastAsia"/>
          <w:szCs w:val="18"/>
        </w:rPr>
        <w:t>é</w:t>
      </w:r>
      <w:r w:rsidRPr="006C361B">
        <w:rPr>
          <w:rFonts w:eastAsiaTheme="minorHAnsi"/>
          <w:szCs w:val="18"/>
        </w:rPr>
        <w:t>s avec la branche maladie et d'am</w:t>
      </w:r>
      <w:r w:rsidRPr="006C361B">
        <w:rPr>
          <w:rFonts w:eastAsiaTheme="minorHAnsi" w:hint="eastAsia"/>
          <w:szCs w:val="18"/>
        </w:rPr>
        <w:t>é</w:t>
      </w:r>
      <w:r w:rsidRPr="006C361B">
        <w:rPr>
          <w:rFonts w:eastAsiaTheme="minorHAnsi"/>
          <w:szCs w:val="18"/>
        </w:rPr>
        <w:t>liorer la connaissance du public et de ses besoins, en termes d</w:t>
      </w:r>
      <w:r>
        <w:rPr>
          <w:rFonts w:eastAsiaTheme="minorHAnsi"/>
          <w:szCs w:val="18"/>
        </w:rPr>
        <w:t>’</w:t>
      </w:r>
      <w:r w:rsidRPr="006C361B">
        <w:rPr>
          <w:rFonts w:eastAsiaTheme="minorHAnsi"/>
          <w:szCs w:val="18"/>
        </w:rPr>
        <w:t xml:space="preserve">offre, </w:t>
      </w:r>
      <w:r w:rsidRPr="006C361B">
        <w:rPr>
          <w:rFonts w:eastAsiaTheme="minorHAnsi" w:hint="eastAsia"/>
          <w:szCs w:val="18"/>
        </w:rPr>
        <w:t>à</w:t>
      </w:r>
      <w:r w:rsidRPr="006C361B">
        <w:rPr>
          <w:rFonts w:eastAsiaTheme="minorHAnsi"/>
          <w:szCs w:val="18"/>
        </w:rPr>
        <w:t xml:space="preserve"> chaque niveau territorial</w:t>
      </w:r>
      <w:r>
        <w:rPr>
          <w:rFonts w:eastAsiaTheme="minorHAnsi"/>
          <w:szCs w:val="18"/>
        </w:rPr>
        <w:t>.</w:t>
      </w:r>
    </w:p>
  </w:footnote>
  <w:footnote w:id="45">
    <w:p w14:paraId="17CDF5B4" w14:textId="77777777" w:rsidR="00CE4F47" w:rsidRPr="00620750" w:rsidRDefault="00CE4F47" w:rsidP="00E42243">
      <w:pPr>
        <w:pStyle w:val="NormalWeb"/>
        <w:shd w:val="clear" w:color="auto" w:fill="FFFFFF"/>
        <w:spacing w:before="0" w:beforeAutospacing="0" w:after="0" w:afterAutospacing="0"/>
        <w:jc w:val="both"/>
        <w:rPr>
          <w:i/>
          <w:sz w:val="18"/>
          <w:szCs w:val="18"/>
        </w:rPr>
      </w:pPr>
      <w:r w:rsidRPr="00620750">
        <w:rPr>
          <w:rStyle w:val="Appelnotedebasdep"/>
          <w:rFonts w:asciiTheme="minorHAnsi" w:eastAsiaTheme="minorEastAsia" w:hAnsiTheme="minorHAnsi" w:cstheme="minorBidi"/>
          <w:sz w:val="18"/>
          <w:szCs w:val="18"/>
        </w:rPr>
        <w:footnoteRef/>
      </w:r>
      <w:r w:rsidRPr="00620750">
        <w:rPr>
          <w:rStyle w:val="Appelnotedebasdep"/>
          <w:rFonts w:asciiTheme="minorHAnsi" w:eastAsiaTheme="minorEastAsia" w:hAnsiTheme="minorHAnsi" w:cstheme="minorBidi"/>
          <w:sz w:val="18"/>
          <w:szCs w:val="18"/>
        </w:rPr>
        <w:t xml:space="preserve"> </w:t>
      </w:r>
      <w:r w:rsidRPr="00620750">
        <w:rPr>
          <w:rFonts w:asciiTheme="minorHAnsi" w:eastAsiaTheme="minorHAnsi" w:hAnsiTheme="minorHAnsi" w:cstheme="minorBidi"/>
          <w:i/>
          <w:sz w:val="18"/>
          <w:szCs w:val="18"/>
        </w:rPr>
        <w:t>16 CCAS ont participé à l’expérimentation en relation avec 5 offreurs de coffre-forts numériques, suite à l’appel à coopération lancé par la DGCS : Adileos, CDC Arkhineo/Primobox, Coffreo, DigiPoste et SOS/REconnect.</w:t>
      </w:r>
    </w:p>
  </w:footnote>
  <w:footnote w:id="46">
    <w:p w14:paraId="50B15581" w14:textId="74FED87E" w:rsidR="00CE4F47" w:rsidRDefault="00CE4F47" w:rsidP="003637D0">
      <w:pPr>
        <w:pStyle w:val="Notedebasdepage"/>
      </w:pPr>
      <w:r w:rsidRPr="00620750">
        <w:rPr>
          <w:rStyle w:val="Appelnotedebasdep"/>
          <w:szCs w:val="18"/>
        </w:rPr>
        <w:footnoteRef/>
      </w:r>
      <w:r w:rsidRPr="00620750">
        <w:rPr>
          <w:szCs w:val="18"/>
        </w:rPr>
        <w:t xml:space="preserve"> </w:t>
      </w:r>
      <w:r w:rsidRPr="00620750">
        <w:rPr>
          <w:rFonts w:eastAsiaTheme="minorHAnsi"/>
          <w:szCs w:val="18"/>
        </w:rPr>
        <w:t>Par exemple,</w:t>
      </w:r>
      <w:r w:rsidRPr="00620750">
        <w:rPr>
          <w:szCs w:val="18"/>
        </w:rPr>
        <w:t xml:space="preserve"> </w:t>
      </w:r>
      <w:r w:rsidRPr="00620750">
        <w:rPr>
          <w:rFonts w:eastAsiaTheme="minorHAnsi"/>
          <w:szCs w:val="18"/>
        </w:rPr>
        <w:t>concernant les équipes mobiles psychiatrie précarité (EMPP), une enquête réalisée en octobre 2017, illustre une multitude de zones non couvertes, laissant des personnes sans accès aux soins psychiatriques, faute également d'accès aux Centres médico-pschologiques (CMP).</w:t>
      </w:r>
    </w:p>
  </w:footnote>
  <w:footnote w:id="47">
    <w:p w14:paraId="0374820E" w14:textId="6859D48D" w:rsidR="00CE4F47" w:rsidRPr="00620750" w:rsidRDefault="00CE4F47">
      <w:pPr>
        <w:pStyle w:val="Notedebasdepage"/>
        <w:rPr>
          <w:szCs w:val="18"/>
        </w:rPr>
      </w:pPr>
      <w:r w:rsidRPr="00620750">
        <w:rPr>
          <w:rStyle w:val="Appelnotedebasdep"/>
          <w:szCs w:val="18"/>
        </w:rPr>
        <w:footnoteRef/>
      </w:r>
      <w:r w:rsidRPr="00620750">
        <w:rPr>
          <w:szCs w:val="18"/>
        </w:rPr>
        <w:t xml:space="preserve"> </w:t>
      </w:r>
      <w:r w:rsidRPr="0057371A">
        <w:rPr>
          <w:szCs w:val="18"/>
        </w:rPr>
        <w:t xml:space="preserve">Cf. article 30 de la </w:t>
      </w:r>
      <w:r>
        <w:rPr>
          <w:szCs w:val="18"/>
        </w:rPr>
        <w:t>l</w:t>
      </w:r>
      <w:r w:rsidRPr="00EA1EEF">
        <w:rPr>
          <w:szCs w:val="18"/>
        </w:rPr>
        <w:t>oi n° 2014-366 du 24 mars 2014 pour l'accès au logement et un urbanisme rénové</w:t>
      </w:r>
      <w:r>
        <w:rPr>
          <w:szCs w:val="18"/>
        </w:rPr>
        <w:t>.</w:t>
      </w:r>
    </w:p>
  </w:footnote>
  <w:footnote w:id="48">
    <w:p w14:paraId="3A3E7D76" w14:textId="593C1AA2" w:rsidR="00CE4F47" w:rsidRDefault="00CE4F47">
      <w:pPr>
        <w:pStyle w:val="Notedebasdepage"/>
      </w:pPr>
      <w:r w:rsidRPr="00620750">
        <w:rPr>
          <w:rStyle w:val="Appelnotedebasdep"/>
          <w:szCs w:val="18"/>
        </w:rPr>
        <w:footnoteRef/>
      </w:r>
      <w:r w:rsidRPr="00620750">
        <w:rPr>
          <w:szCs w:val="18"/>
        </w:rPr>
        <w:t xml:space="preserve"> </w:t>
      </w:r>
      <w:r>
        <w:rPr>
          <w:szCs w:val="18"/>
        </w:rPr>
        <w:t>E</w:t>
      </w:r>
      <w:r w:rsidRPr="0057371A">
        <w:rPr>
          <w:szCs w:val="18"/>
        </w:rPr>
        <w:t>tude qualitative finalisée en avril 2018 visant à valoriser des pratiques inspirantes de plusieurs SIAO concernant la prise en charge des problèmes de santé</w:t>
      </w:r>
      <w:r>
        <w:rPr>
          <w:szCs w:val="18"/>
        </w:rPr>
        <w:t>.</w:t>
      </w:r>
    </w:p>
  </w:footnote>
  <w:footnote w:id="49">
    <w:p w14:paraId="437000F5" w14:textId="5366D833" w:rsidR="00CE4F47" w:rsidRDefault="00CE4F47" w:rsidP="00BF011B">
      <w:pPr>
        <w:pStyle w:val="Notedebasdepage"/>
      </w:pPr>
      <w:r>
        <w:rPr>
          <w:rStyle w:val="Appelnotedebasdep"/>
        </w:rPr>
        <w:footnoteRef/>
      </w:r>
      <w:r>
        <w:t xml:space="preserve"> L</w:t>
      </w:r>
      <w:r w:rsidRPr="006C361B">
        <w:rPr>
          <w:szCs w:val="18"/>
        </w:rPr>
        <w:t xml:space="preserve">ancé par l’instruction du 24 avril 2017 relative à l’accompagnement du déploiement des services numériques d’appui à la coordination (SNACS) dans les régions, le </w:t>
      </w:r>
      <w:r>
        <w:rPr>
          <w:szCs w:val="18"/>
        </w:rPr>
        <w:t>« </w:t>
      </w:r>
      <w:r w:rsidRPr="006C361B">
        <w:rPr>
          <w:szCs w:val="18"/>
        </w:rPr>
        <w:t>e-parcours</w:t>
      </w:r>
      <w:r>
        <w:rPr>
          <w:szCs w:val="18"/>
        </w:rPr>
        <w:t> »</w:t>
      </w:r>
      <w:r w:rsidRPr="006C361B">
        <w:rPr>
          <w:szCs w:val="18"/>
        </w:rPr>
        <w:t xml:space="preserve"> vise</w:t>
      </w:r>
      <w:r w:rsidRPr="006C361B">
        <w:rPr>
          <w:rFonts w:ascii="Times New Roman" w:hAnsi="Times New Roman"/>
          <w:szCs w:val="18"/>
        </w:rPr>
        <w:t xml:space="preserve"> </w:t>
      </w:r>
      <w:r w:rsidRPr="006C361B">
        <w:rPr>
          <w:szCs w:val="18"/>
        </w:rPr>
        <w:t>la mise à disposition des acteurs d’un bouquet de services num</w:t>
      </w:r>
      <w:r w:rsidRPr="006C361B">
        <w:rPr>
          <w:szCs w:val="18"/>
        </w:rPr>
        <w:t>é</w:t>
      </w:r>
      <w:r w:rsidRPr="006C361B">
        <w:rPr>
          <w:szCs w:val="18"/>
        </w:rPr>
        <w:t xml:space="preserve">riques </w:t>
      </w:r>
      <w:r>
        <w:rPr>
          <w:szCs w:val="18"/>
        </w:rPr>
        <w:t xml:space="preserve">qui </w:t>
      </w:r>
      <w:r w:rsidRPr="006C361B">
        <w:rPr>
          <w:szCs w:val="18"/>
        </w:rPr>
        <w:t>permettra de faciliter l’échange et le partage d’informations essentielles à une bonne coordination et intégration entre les professionnels.</w:t>
      </w:r>
    </w:p>
  </w:footnote>
  <w:footnote w:id="50">
    <w:p w14:paraId="2E3F93D6" w14:textId="2B81019B" w:rsidR="00CE4F47" w:rsidRPr="00AB729D" w:rsidRDefault="00CE4F47" w:rsidP="00AB729D">
      <w:pPr>
        <w:pStyle w:val="Titre2"/>
        <w:numPr>
          <w:ilvl w:val="0"/>
          <w:numId w:val="0"/>
        </w:numPr>
        <w:spacing w:before="0"/>
        <w:rPr>
          <w:rStyle w:val="Appelnotedebasdep"/>
          <w:rFonts w:eastAsia="Times New Roman"/>
          <w:b w:val="0"/>
          <w:i/>
          <w:color w:val="1A171B"/>
          <w:sz w:val="18"/>
          <w:szCs w:val="20"/>
          <w:lang w:eastAsia="fr-FR"/>
        </w:rPr>
      </w:pPr>
      <w:r w:rsidRPr="00AB729D">
        <w:rPr>
          <w:rStyle w:val="Appelnotedebasdep"/>
          <w:rFonts w:eastAsia="Times New Roman"/>
          <w:b w:val="0"/>
          <w:i/>
          <w:color w:val="1A171B"/>
          <w:sz w:val="18"/>
          <w:szCs w:val="20"/>
          <w:lang w:eastAsia="fr-FR"/>
        </w:rPr>
        <w:footnoteRef/>
      </w:r>
      <w:r w:rsidRPr="00AB729D">
        <w:rPr>
          <w:rStyle w:val="Appelnotedebasdep"/>
          <w:szCs w:val="20"/>
        </w:rPr>
        <w:t xml:space="preserve"> </w:t>
      </w:r>
      <w:r>
        <w:rPr>
          <w:rFonts w:eastAsia="Times New Roman"/>
          <w:b w:val="0"/>
          <w:i/>
          <w:color w:val="1A171B"/>
          <w:sz w:val="18"/>
          <w:szCs w:val="18"/>
          <w:lang w:eastAsia="fr-FR"/>
        </w:rPr>
        <w:t>S</w:t>
      </w:r>
      <w:r w:rsidRPr="00AB729D">
        <w:rPr>
          <w:rFonts w:eastAsia="Times New Roman"/>
          <w:b w:val="0"/>
          <w:i/>
          <w:color w:val="1A171B"/>
          <w:sz w:val="18"/>
          <w:szCs w:val="18"/>
          <w:lang w:eastAsia="fr-FR"/>
        </w:rPr>
        <w:t>ervice de messagerie sécurisée proposé par l'ASIP Santé et les Ordres de santé</w:t>
      </w:r>
      <w:r>
        <w:rPr>
          <w:rFonts w:eastAsia="Times New Roman"/>
          <w:b w:val="0"/>
          <w:i/>
          <w:color w:val="1A171B"/>
          <w:sz w:val="18"/>
          <w:szCs w:val="18"/>
          <w:lang w:eastAsia="fr-FR"/>
        </w:rPr>
        <w:t>.</w:t>
      </w:r>
    </w:p>
  </w:footnote>
  <w:footnote w:id="51">
    <w:p w14:paraId="53B46759" w14:textId="77777777" w:rsidR="00CE4F47" w:rsidRPr="00036FBE" w:rsidRDefault="00CE4F47" w:rsidP="00024F84">
      <w:pPr>
        <w:jc w:val="both"/>
        <w:rPr>
          <w:rFonts w:eastAsia="Times New Roman"/>
          <w:i/>
          <w:sz w:val="18"/>
          <w:szCs w:val="18"/>
          <w:lang w:eastAsia="fr-FR"/>
        </w:rPr>
      </w:pPr>
      <w:r>
        <w:rPr>
          <w:rStyle w:val="Appelnotedebasdep"/>
        </w:rPr>
        <w:footnoteRef/>
      </w:r>
      <w:r>
        <w:t xml:space="preserve"> </w:t>
      </w:r>
      <w:r w:rsidRPr="00036FBE">
        <w:rPr>
          <w:rFonts w:eastAsia="Times New Roman"/>
          <w:i/>
          <w:sz w:val="18"/>
          <w:szCs w:val="18"/>
          <w:lang w:eastAsia="fr-FR"/>
        </w:rPr>
        <w:t xml:space="preserve">Voir Despres C. 2017, «  Des pratiques médicales et dentaires, entre différenciation et discrimination : une analyse de discours de médecins et dentistes ». Rapport de recherche sous la responsabilité de Rémi Gagnayre et Pierre Lombrail financé par le Fonds CMU-C et le Défenseur des droits. </w:t>
      </w:r>
    </w:p>
    <w:p w14:paraId="4AED951A" w14:textId="77777777" w:rsidR="00CE4F47" w:rsidRDefault="00CE4F47" w:rsidP="00024F84">
      <w:pPr>
        <w:pStyle w:val="Notedebasdepage"/>
      </w:pPr>
    </w:p>
  </w:footnote>
  <w:footnote w:id="52">
    <w:p w14:paraId="7E38E7BE" w14:textId="4BB23FF6" w:rsidR="00CE4F47" w:rsidRDefault="00CE4F47" w:rsidP="00952923">
      <w:pPr>
        <w:pStyle w:val="Notedebasdepage"/>
      </w:pPr>
      <w:r>
        <w:rPr>
          <w:rStyle w:val="Appelnotedebasdep"/>
        </w:rPr>
        <w:footnoteRef/>
      </w:r>
      <w:r>
        <w:t xml:space="preserve"> </w:t>
      </w:r>
      <w:r w:rsidRPr="006C361B">
        <w:rPr>
          <w:rFonts w:eastAsiaTheme="minorHAnsi"/>
          <w:szCs w:val="18"/>
        </w:rPr>
        <w:t xml:space="preserve">Le dispositif le plus ancien est celui du </w:t>
      </w:r>
      <w:r>
        <w:rPr>
          <w:rFonts w:eastAsiaTheme="minorHAnsi"/>
          <w:szCs w:val="18"/>
        </w:rPr>
        <w:t>centre hospitalier</w:t>
      </w:r>
      <w:r w:rsidRPr="006C361B">
        <w:rPr>
          <w:rFonts w:eastAsiaTheme="minorHAnsi"/>
          <w:szCs w:val="18"/>
        </w:rPr>
        <w:t xml:space="preserve"> d’A</w:t>
      </w:r>
      <w:r>
        <w:rPr>
          <w:rFonts w:eastAsiaTheme="minorHAnsi"/>
          <w:szCs w:val="18"/>
        </w:rPr>
        <w:t>nnecy</w:t>
      </w:r>
      <w:r w:rsidRPr="006C361B">
        <w:rPr>
          <w:rFonts w:eastAsiaTheme="minorHAnsi"/>
          <w:szCs w:val="18"/>
        </w:rPr>
        <w:t>. En 2017, ce dispositif Handiconsult a réalisé 1</w:t>
      </w:r>
      <w:r>
        <w:rPr>
          <w:rFonts w:eastAsiaTheme="minorHAnsi"/>
          <w:szCs w:val="18"/>
        </w:rPr>
        <w:t xml:space="preserve"> </w:t>
      </w:r>
      <w:r w:rsidRPr="006C361B">
        <w:rPr>
          <w:rFonts w:eastAsiaTheme="minorHAnsi"/>
          <w:szCs w:val="18"/>
        </w:rPr>
        <w:t>375 consult</w:t>
      </w:r>
      <w:r w:rsidRPr="006C361B">
        <w:rPr>
          <w:rFonts w:eastAsiaTheme="minorHAnsi"/>
          <w:szCs w:val="18"/>
        </w:rPr>
        <w:t>a</w:t>
      </w:r>
      <w:r w:rsidRPr="006C361B">
        <w:rPr>
          <w:rFonts w:eastAsiaTheme="minorHAnsi"/>
          <w:szCs w:val="18"/>
        </w:rPr>
        <w:t xml:space="preserve">tions (55% médical, 45% dentaire) pour 748 patients ; 84% des patients proviennent du département de </w:t>
      </w:r>
      <w:r>
        <w:rPr>
          <w:rFonts w:eastAsiaTheme="minorHAnsi"/>
          <w:szCs w:val="18"/>
        </w:rPr>
        <w:t>H</w:t>
      </w:r>
      <w:r w:rsidRPr="006C361B">
        <w:rPr>
          <w:rFonts w:eastAsiaTheme="minorHAnsi"/>
          <w:szCs w:val="18"/>
        </w:rPr>
        <w:t>aute</w:t>
      </w:r>
      <w:r>
        <w:rPr>
          <w:rFonts w:eastAsiaTheme="minorHAnsi"/>
          <w:szCs w:val="18"/>
        </w:rPr>
        <w:t>-</w:t>
      </w:r>
      <w:r w:rsidRPr="006C361B">
        <w:rPr>
          <w:rFonts w:eastAsiaTheme="minorHAnsi"/>
          <w:szCs w:val="18"/>
        </w:rPr>
        <w:t>S</w:t>
      </w:r>
      <w:r w:rsidRPr="006C361B">
        <w:rPr>
          <w:rFonts w:eastAsiaTheme="minorHAnsi"/>
          <w:szCs w:val="18"/>
        </w:rPr>
        <w:t>a</w:t>
      </w:r>
      <w:r w:rsidRPr="006C361B">
        <w:rPr>
          <w:rFonts w:eastAsiaTheme="minorHAnsi"/>
          <w:szCs w:val="18"/>
        </w:rPr>
        <w:t xml:space="preserve">voie, 16% des départements limitrophes. 41 patients ont plus de 75 ans. Le 17 mai 2018, le </w:t>
      </w:r>
      <w:r>
        <w:rPr>
          <w:rFonts w:eastAsiaTheme="minorHAnsi"/>
          <w:szCs w:val="18"/>
        </w:rPr>
        <w:t>centre hospitalier d’Annecy</w:t>
      </w:r>
      <w:r w:rsidRPr="006C361B">
        <w:rPr>
          <w:rFonts w:eastAsiaTheme="minorHAnsi"/>
          <w:szCs w:val="18"/>
        </w:rPr>
        <w:t xml:space="preserve"> a organisé la première journée nationale des dispositifs de ce type.</w:t>
      </w:r>
    </w:p>
  </w:footnote>
  <w:footnote w:id="53">
    <w:p w14:paraId="134971C1" w14:textId="467770CA" w:rsidR="00CE4F47" w:rsidRDefault="00CE4F47" w:rsidP="0070340B">
      <w:pPr>
        <w:pStyle w:val="Notedebasdepage"/>
      </w:pPr>
      <w:r w:rsidRPr="00AB729D">
        <w:rPr>
          <w:rStyle w:val="Appelnotedebasdep"/>
          <w:i w:val="0"/>
        </w:rPr>
        <w:footnoteRef/>
      </w:r>
      <w:r w:rsidRPr="00AB729D">
        <w:rPr>
          <w:i w:val="0"/>
        </w:rPr>
        <w:t xml:space="preserve"> </w:t>
      </w:r>
      <w:r w:rsidRPr="00AB729D">
        <w:rPr>
          <w:szCs w:val="18"/>
        </w:rPr>
        <w:t>35% des intervenants sociaux ayant répondu à une enquête de la Fédération des acteurs de la solidarité</w:t>
      </w:r>
      <w:r>
        <w:rPr>
          <w:szCs w:val="18"/>
        </w:rPr>
        <w:t xml:space="preserve"> (FAS)</w:t>
      </w:r>
      <w:r w:rsidRPr="00AB729D">
        <w:rPr>
          <w:szCs w:val="18"/>
        </w:rPr>
        <w:t xml:space="preserve"> menée en 2017 auprès des PASS les estiment saturées et seulement 53% des 143 PASS investiguées disposent d’un local dédié avec une perm</w:t>
      </w:r>
      <w:r w:rsidRPr="00AB729D">
        <w:rPr>
          <w:szCs w:val="18"/>
        </w:rPr>
        <w:t>a</w:t>
      </w:r>
      <w:r w:rsidRPr="00AB729D">
        <w:rPr>
          <w:szCs w:val="18"/>
        </w:rPr>
        <w:t>nence médicale.</w:t>
      </w:r>
      <w:r w:rsidRPr="00345BE3">
        <w:rPr>
          <w:rFonts w:eastAsiaTheme="minorHAnsi"/>
        </w:rPr>
        <w:t xml:space="preserve"> </w:t>
      </w:r>
    </w:p>
  </w:footnote>
  <w:footnote w:id="54">
    <w:p w14:paraId="039DBDD4" w14:textId="77777777" w:rsidR="00CE4F47" w:rsidRPr="00AB729D" w:rsidRDefault="00CE4F47" w:rsidP="0070340B">
      <w:pPr>
        <w:rPr>
          <w:rFonts w:eastAsia="Times New Roman"/>
          <w:i/>
          <w:sz w:val="18"/>
          <w:szCs w:val="18"/>
          <w:lang w:eastAsia="fr-FR"/>
        </w:rPr>
      </w:pPr>
      <w:r>
        <w:rPr>
          <w:rStyle w:val="Appelnotedebasdep"/>
        </w:rPr>
        <w:footnoteRef/>
      </w:r>
      <w:r>
        <w:t xml:space="preserve"> </w:t>
      </w:r>
      <w:r w:rsidRPr="00AB729D">
        <w:rPr>
          <w:rFonts w:eastAsia="Times New Roman"/>
          <w:i/>
          <w:sz w:val="18"/>
          <w:szCs w:val="18"/>
          <w:lang w:eastAsia="fr-FR"/>
        </w:rPr>
        <w:t xml:space="preserve">Les données de la Statistique annuelle des établissements de santé (SAE) font état d’une file active de 183 544 personnes différentes reçues au moins une fois dans l'année par les PASS en 2016. </w:t>
      </w:r>
    </w:p>
  </w:footnote>
  <w:footnote w:id="55">
    <w:p w14:paraId="55881C48" w14:textId="104C9830" w:rsidR="00CE4F47" w:rsidRDefault="00CE4F47" w:rsidP="0070340B">
      <w:pPr>
        <w:pStyle w:val="Notedebasdepage"/>
      </w:pPr>
      <w:r>
        <w:rPr>
          <w:rStyle w:val="Appelnotedebasdep"/>
        </w:rPr>
        <w:footnoteRef/>
      </w:r>
      <w:r>
        <w:t xml:space="preserve"> </w:t>
      </w:r>
      <w:r>
        <w:rPr>
          <w:szCs w:val="18"/>
        </w:rPr>
        <w:t>Selon une</w:t>
      </w:r>
      <w:r w:rsidRPr="006C361B">
        <w:rPr>
          <w:szCs w:val="18"/>
        </w:rPr>
        <w:t xml:space="preserve"> enquête </w:t>
      </w:r>
      <w:r>
        <w:rPr>
          <w:szCs w:val="18"/>
        </w:rPr>
        <w:t xml:space="preserve">menée par la DGOS </w:t>
      </w:r>
      <w:r w:rsidRPr="006C361B">
        <w:rPr>
          <w:szCs w:val="18"/>
        </w:rPr>
        <w:t>en 2013</w:t>
      </w:r>
      <w:r>
        <w:rPr>
          <w:szCs w:val="18"/>
        </w:rPr>
        <w:t xml:space="preserve">, on dénombrait </w:t>
      </w:r>
      <w:r w:rsidRPr="006C361B">
        <w:rPr>
          <w:szCs w:val="18"/>
        </w:rPr>
        <w:t xml:space="preserve">430 PASS dont 368 généralistes - 18 dentaires – 44 en milieu psychiatrique. La quasi-totalité </w:t>
      </w:r>
      <w:r>
        <w:rPr>
          <w:szCs w:val="18"/>
        </w:rPr>
        <w:t xml:space="preserve">de ces PASS </w:t>
      </w:r>
      <w:r w:rsidRPr="006C361B">
        <w:rPr>
          <w:szCs w:val="18"/>
        </w:rPr>
        <w:t xml:space="preserve">dépend d’établissements publics. Il existe des PASS dans tous les </w:t>
      </w:r>
      <w:r>
        <w:rPr>
          <w:szCs w:val="18"/>
        </w:rPr>
        <w:t>centres hospitaliers universitaires (CHU) et les centres hospitaliers régionaux (</w:t>
      </w:r>
      <w:r w:rsidRPr="006C361B">
        <w:rPr>
          <w:szCs w:val="18"/>
        </w:rPr>
        <w:t>CHR</w:t>
      </w:r>
      <w:r>
        <w:rPr>
          <w:szCs w:val="18"/>
        </w:rPr>
        <w:t>)</w:t>
      </w:r>
      <w:r w:rsidRPr="006C361B">
        <w:rPr>
          <w:szCs w:val="18"/>
        </w:rPr>
        <w:t>. Afin d’actualiser ses données, la DGOS vient de lancer en 2018 une nouvelle enquête en cours de remplissage par les ARS.</w:t>
      </w:r>
    </w:p>
  </w:footnote>
  <w:footnote w:id="56">
    <w:p w14:paraId="61B1E96F" w14:textId="2B63F51F" w:rsidR="00CE4F47" w:rsidRDefault="00CE4F47" w:rsidP="0070340B">
      <w:pPr>
        <w:pStyle w:val="Notedebasdepage"/>
      </w:pPr>
      <w:r>
        <w:rPr>
          <w:rStyle w:val="Appelnotedebasdep"/>
        </w:rPr>
        <w:footnoteRef/>
      </w:r>
      <w:r>
        <w:t xml:space="preserve"> </w:t>
      </w:r>
      <w:r w:rsidRPr="006C361B">
        <w:rPr>
          <w:szCs w:val="18"/>
        </w:rPr>
        <w:t xml:space="preserve">L’évolution du contexte migratoire a nécessité pour les petites PASS de prendre en charge un nouveau public et de gérer la barrière de la langue, </w:t>
      </w:r>
      <w:r>
        <w:rPr>
          <w:szCs w:val="18"/>
        </w:rPr>
        <w:t>le</w:t>
      </w:r>
      <w:r w:rsidRPr="006C361B">
        <w:rPr>
          <w:szCs w:val="18"/>
        </w:rPr>
        <w:t xml:space="preserve"> stress post-traumatique et de nouvelles pathologies</w:t>
      </w:r>
      <w:r>
        <w:rPr>
          <w:szCs w:val="18"/>
        </w:rPr>
        <w:t>.</w:t>
      </w:r>
    </w:p>
  </w:footnote>
  <w:footnote w:id="57">
    <w:p w14:paraId="681F4E6B" w14:textId="34BF76E3" w:rsidR="00CE4F47" w:rsidRPr="006C361B" w:rsidRDefault="00CE4F47" w:rsidP="00952923">
      <w:pPr>
        <w:pStyle w:val="Notedebasdepage"/>
        <w:rPr>
          <w:szCs w:val="18"/>
        </w:rPr>
      </w:pPr>
      <w:r w:rsidRPr="006C361B">
        <w:rPr>
          <w:rStyle w:val="Appelnotedebasdep"/>
          <w:szCs w:val="18"/>
        </w:rPr>
        <w:footnoteRef/>
      </w:r>
      <w:r w:rsidRPr="006C361B">
        <w:rPr>
          <w:szCs w:val="18"/>
        </w:rPr>
        <w:t xml:space="preserve"> </w:t>
      </w:r>
      <w:r w:rsidRPr="006C361B">
        <w:rPr>
          <w:rFonts w:eastAsiaTheme="minorHAnsi"/>
          <w:szCs w:val="18"/>
          <w:lang w:eastAsia="en-US"/>
        </w:rPr>
        <w:t>Les LAM assurent un accueil, sans limitation dans le temps, de personnes souffrant de pathologies lourdes, chroniques irréve</w:t>
      </w:r>
      <w:r w:rsidRPr="006C361B">
        <w:rPr>
          <w:rFonts w:eastAsiaTheme="minorHAnsi"/>
          <w:szCs w:val="18"/>
          <w:lang w:eastAsia="en-US"/>
        </w:rPr>
        <w:t>r</w:t>
      </w:r>
      <w:r w:rsidRPr="006C361B">
        <w:rPr>
          <w:rFonts w:eastAsiaTheme="minorHAnsi"/>
          <w:szCs w:val="18"/>
          <w:lang w:eastAsia="en-US"/>
        </w:rPr>
        <w:t>sibles et invalidantes. Au sein de ces structures, l’accompagnement infirmier et médical est plus important que dans les LHSS</w:t>
      </w:r>
      <w:r>
        <w:rPr>
          <w:rFonts w:eastAsiaTheme="minorHAnsi"/>
          <w:szCs w:val="18"/>
          <w:lang w:eastAsia="en-US"/>
        </w:rPr>
        <w:t>.</w:t>
      </w:r>
    </w:p>
  </w:footnote>
  <w:footnote w:id="58">
    <w:p w14:paraId="14105C61" w14:textId="77777777" w:rsidR="00CE4F47" w:rsidRPr="006C361B" w:rsidRDefault="00CE4F47" w:rsidP="00952923">
      <w:pPr>
        <w:pStyle w:val="Notedebasdepage"/>
        <w:rPr>
          <w:szCs w:val="18"/>
        </w:rPr>
      </w:pPr>
      <w:r w:rsidRPr="006C361B">
        <w:rPr>
          <w:rStyle w:val="Appelnotedebasdep"/>
          <w:szCs w:val="18"/>
        </w:rPr>
        <w:footnoteRef/>
      </w:r>
      <w:r w:rsidRPr="006C361B">
        <w:rPr>
          <w:szCs w:val="18"/>
        </w:rPr>
        <w:t xml:space="preserve"> </w:t>
      </w:r>
      <w:r w:rsidRPr="006C361B">
        <w:rPr>
          <w:rFonts w:eastAsiaTheme="minorHAnsi"/>
          <w:szCs w:val="18"/>
          <w:lang w:eastAsia="en-US"/>
        </w:rPr>
        <w:t>Les LHSS assurent un accueil temporaire de ces personnes lorsque leur état de santé ne justifie pas une hospitalisation mais nécessite une prise en charge adaptée. Ils interviennent donc fréquemment en relais d’une hospitalisation, pour une durée de 2 mois renouvelable autant que de besoin.</w:t>
      </w:r>
    </w:p>
  </w:footnote>
  <w:footnote w:id="59">
    <w:p w14:paraId="52B4B23B" w14:textId="3040A707" w:rsidR="00CE4F47" w:rsidRPr="006C361B" w:rsidRDefault="00CE4F47" w:rsidP="00952923">
      <w:pPr>
        <w:pStyle w:val="Notedebasdepage"/>
        <w:rPr>
          <w:szCs w:val="18"/>
        </w:rPr>
      </w:pPr>
      <w:r w:rsidRPr="006C361B">
        <w:rPr>
          <w:rStyle w:val="Appelnotedebasdep"/>
          <w:szCs w:val="18"/>
        </w:rPr>
        <w:footnoteRef/>
      </w:r>
      <w:r w:rsidRPr="006C361B">
        <w:rPr>
          <w:szCs w:val="18"/>
        </w:rPr>
        <w:t xml:space="preserve"> Les ACT définis au L.312-1 (9°) du code de l’action sociale et des familles « hébergent à titre temporaire des personnes en situation de fragilité psychologique, sociale et nécessitant des soins et un suivi médical, de manière à garantir l’observance des traitements</w:t>
      </w:r>
      <w:r w:rsidRPr="006C361B">
        <w:rPr>
          <w:rFonts w:asciiTheme="majorHAnsi" w:hAnsiTheme="majorHAnsi" w:cs="Calibri"/>
          <w:szCs w:val="18"/>
        </w:rPr>
        <w:t xml:space="preserve"> à permettre un accompagnement psychologique et une aide à</w:t>
      </w:r>
      <w:r w:rsidRPr="006C361B">
        <w:rPr>
          <w:rFonts w:asciiTheme="majorHAnsi" w:hAnsiTheme="majorHAnsi" w:cs="Calibri"/>
          <w:i w:val="0"/>
          <w:szCs w:val="18"/>
        </w:rPr>
        <w:t xml:space="preserve"> l’insertion »</w:t>
      </w:r>
      <w:r w:rsidRPr="006C361B">
        <w:rPr>
          <w:rFonts w:asciiTheme="majorHAnsi" w:hAnsiTheme="majorHAnsi" w:cs="Calibri"/>
          <w:szCs w:val="18"/>
        </w:rPr>
        <w:t xml:space="preserve">. </w:t>
      </w:r>
      <w:r w:rsidRPr="006C361B">
        <w:rPr>
          <w:szCs w:val="18"/>
        </w:rPr>
        <w:t>Initialement conçus pour accueillir des personnes atteintes du VIH, ils sont désormais plus largement dédiés aux personnes atteintes de pathologies chroniques sévères (cancers, hépatites)</w:t>
      </w:r>
      <w:r>
        <w:rPr>
          <w:szCs w:val="18"/>
        </w:rPr>
        <w:t>.</w:t>
      </w:r>
    </w:p>
  </w:footnote>
  <w:footnote w:id="60">
    <w:p w14:paraId="792655BA" w14:textId="77777777" w:rsidR="00CE4F47" w:rsidRDefault="00CE4F47" w:rsidP="00376454">
      <w:pPr>
        <w:pStyle w:val="Notedebasdepage"/>
      </w:pPr>
      <w:r>
        <w:rPr>
          <w:rStyle w:val="Appelnotedebasdep"/>
        </w:rPr>
        <w:footnoteRef/>
      </w:r>
      <w:r>
        <w:t xml:space="preserve"> </w:t>
      </w:r>
      <w:r w:rsidRPr="006C361B">
        <w:rPr>
          <w:szCs w:val="18"/>
        </w:rPr>
        <w:t>23 critères de discrimination sont inscrits au code pénal (article 225-1).</w:t>
      </w:r>
    </w:p>
  </w:footnote>
  <w:footnote w:id="61">
    <w:p w14:paraId="4EB3A7AC" w14:textId="6577186A" w:rsidR="00CE4F47" w:rsidRPr="006C361B" w:rsidRDefault="00CE4F47" w:rsidP="00376454">
      <w:pPr>
        <w:pStyle w:val="Notedebasdepage"/>
        <w:rPr>
          <w:szCs w:val="18"/>
        </w:rPr>
      </w:pPr>
      <w:r>
        <w:rPr>
          <w:rStyle w:val="Appelnotedebasdep"/>
        </w:rPr>
        <w:footnoteRef/>
      </w:r>
      <w:r>
        <w:t xml:space="preserve"> Le </w:t>
      </w:r>
      <w:r w:rsidRPr="006C361B">
        <w:rPr>
          <w:szCs w:val="18"/>
        </w:rPr>
        <w:t>droit positif ne consacre pas au profit des malades l’existence d’un droit aux soins opposable en toutes circonstances à tous les acteurs offrant des prestations de soins. L’accès aux soins n’est en effet pas le seul impératif pris en compte par le droit pos</w:t>
      </w:r>
      <w:r w:rsidRPr="006C361B">
        <w:rPr>
          <w:szCs w:val="18"/>
        </w:rPr>
        <w:t>i</w:t>
      </w:r>
      <w:r w:rsidRPr="006C361B">
        <w:rPr>
          <w:szCs w:val="18"/>
        </w:rPr>
        <w:t>tif : l’activité d’un médecin est également protégée par les principes de liberté thérapeutique et de liberté contractuelle (cf. Le refus de soins opposé au malade, Institut Droit et Santé</w:t>
      </w:r>
      <w:r>
        <w:rPr>
          <w:szCs w:val="18"/>
        </w:rPr>
        <w:t>).</w:t>
      </w:r>
    </w:p>
  </w:footnote>
  <w:footnote w:id="62">
    <w:p w14:paraId="5D3448ED" w14:textId="24F09671" w:rsidR="00CE4F47" w:rsidRPr="006C361B" w:rsidRDefault="00CE4F47" w:rsidP="00376454">
      <w:pPr>
        <w:pStyle w:val="Notedebasdepage"/>
        <w:rPr>
          <w:vertAlign w:val="superscript"/>
        </w:rPr>
      </w:pPr>
      <w:r>
        <w:rPr>
          <w:rStyle w:val="Appelnotedebasdep"/>
        </w:rPr>
        <w:footnoteRef/>
      </w:r>
      <w:r w:rsidRPr="006C361B">
        <w:rPr>
          <w:rStyle w:val="Appelnotedebasdep"/>
        </w:rPr>
        <w:t xml:space="preserve"> </w:t>
      </w:r>
      <w:r>
        <w:rPr>
          <w:szCs w:val="18"/>
        </w:rPr>
        <w:t>Cf.</w:t>
      </w:r>
      <w:r w:rsidRPr="006C361B">
        <w:rPr>
          <w:szCs w:val="18"/>
        </w:rPr>
        <w:t xml:space="preserve"> </w:t>
      </w:r>
      <w:r w:rsidRPr="003604F3">
        <w:rPr>
          <w:szCs w:val="18"/>
        </w:rPr>
        <w:t>annexe 18 :</w:t>
      </w:r>
      <w:r>
        <w:rPr>
          <w:szCs w:val="18"/>
        </w:rPr>
        <w:t xml:space="preserve"> </w:t>
      </w:r>
      <w:r w:rsidRPr="006C361B">
        <w:rPr>
          <w:szCs w:val="18"/>
        </w:rPr>
        <w:t>Extraits de l’enquête « Handisfaction » de l’association Handidactique créée par Pascal JACOB</w:t>
      </w:r>
    </w:p>
  </w:footnote>
  <w:footnote w:id="63">
    <w:p w14:paraId="39DE84F7" w14:textId="77777777" w:rsidR="00CE4F47" w:rsidRPr="00D81FC5" w:rsidRDefault="00CE4F47" w:rsidP="00864D7B">
      <w:pPr>
        <w:jc w:val="both"/>
        <w:rPr>
          <w:rFonts w:eastAsiaTheme="minorEastAsia"/>
          <w:i/>
          <w:szCs w:val="20"/>
          <w:lang w:eastAsia="fr-FR"/>
        </w:rPr>
      </w:pPr>
      <w:r>
        <w:rPr>
          <w:rStyle w:val="Appelnotedebasdep"/>
        </w:rPr>
        <w:footnoteRef/>
      </w:r>
      <w:r>
        <w:t xml:space="preserve"> </w:t>
      </w:r>
      <w:r w:rsidRPr="00D81FC5">
        <w:rPr>
          <w:rFonts w:eastAsiaTheme="minorEastAsia"/>
          <w:i/>
          <w:sz w:val="18"/>
          <w:szCs w:val="18"/>
          <w:lang w:eastAsia="fr-FR"/>
        </w:rPr>
        <w:t>La loi n° 2009-879 du 21 juillet 2009 portant réforme de l’hôpital et relative aux patients, à la santé et aux territoires a intr</w:t>
      </w:r>
      <w:r w:rsidRPr="00D81FC5">
        <w:rPr>
          <w:rFonts w:eastAsiaTheme="minorEastAsia"/>
          <w:i/>
          <w:sz w:val="18"/>
          <w:szCs w:val="18"/>
          <w:lang w:eastAsia="fr-FR"/>
        </w:rPr>
        <w:t>o</w:t>
      </w:r>
      <w:r w:rsidRPr="00D81FC5">
        <w:rPr>
          <w:rFonts w:eastAsiaTheme="minorEastAsia"/>
          <w:i/>
          <w:sz w:val="18"/>
          <w:szCs w:val="18"/>
          <w:lang w:eastAsia="fr-FR"/>
        </w:rPr>
        <w:t>duit dans le Code de la santé publique la possibilité de sanctionner le refus de soins. Dorénavant la victime d’un refus de soins illégitime peut saisir la caisse d’assurance maladie ou le conseil de l’ordre concerné. En cas d’échec de la conciliation que prévoit la loi, la juridiction ordinale en est saisie. En cas de carence de celle-ci, le directeur de la caisse d’assurance maladie peut prono</w:t>
      </w:r>
      <w:r w:rsidRPr="00D81FC5">
        <w:rPr>
          <w:rFonts w:eastAsiaTheme="minorEastAsia"/>
          <w:i/>
          <w:sz w:val="18"/>
          <w:szCs w:val="18"/>
          <w:lang w:eastAsia="fr-FR"/>
        </w:rPr>
        <w:t>n</w:t>
      </w:r>
      <w:r w:rsidRPr="00D81FC5">
        <w:rPr>
          <w:rFonts w:eastAsiaTheme="minorEastAsia"/>
          <w:i/>
          <w:sz w:val="18"/>
          <w:szCs w:val="18"/>
          <w:lang w:eastAsia="fr-FR"/>
        </w:rPr>
        <w:t>cer une sanction à l’encontre du professionnel en cause.</w:t>
      </w:r>
      <w:r w:rsidRPr="00D81FC5">
        <w:rPr>
          <w:rFonts w:eastAsiaTheme="minorEastAsia"/>
          <w:i/>
          <w:szCs w:val="20"/>
          <w:lang w:eastAsia="fr-FR"/>
        </w:rPr>
        <w:t xml:space="preserve"> </w:t>
      </w:r>
    </w:p>
    <w:p w14:paraId="289FBB8B" w14:textId="77777777" w:rsidR="00CE4F47" w:rsidRDefault="00CE4F47" w:rsidP="00376454">
      <w:pPr>
        <w:pStyle w:val="Notedebasdepage"/>
      </w:pPr>
    </w:p>
  </w:footnote>
  <w:footnote w:id="64">
    <w:p w14:paraId="12EA85BC" w14:textId="61DAA764" w:rsidR="00CE4F47" w:rsidRDefault="00CE4F47" w:rsidP="008E0B06">
      <w:pPr>
        <w:pStyle w:val="Notedebasdepage"/>
      </w:pPr>
      <w:r>
        <w:rPr>
          <w:rStyle w:val="Appelnotedebasdep"/>
        </w:rPr>
        <w:footnoteRef/>
      </w:r>
      <w:r>
        <w:t xml:space="preserve"> </w:t>
      </w:r>
      <w:r w:rsidRPr="006C361B">
        <w:rPr>
          <w:szCs w:val="18"/>
        </w:rPr>
        <w:t>Le format et le contenu du titre AME sont définis</w:t>
      </w:r>
      <w:r w:rsidRPr="006C361B">
        <w:rPr>
          <w:rFonts w:ascii="Arial" w:hAnsi="Arial" w:cs="Arial"/>
          <w:b/>
          <w:bCs/>
          <w:szCs w:val="18"/>
        </w:rPr>
        <w:t xml:space="preserve"> </w:t>
      </w:r>
      <w:r w:rsidRPr="006C361B">
        <w:rPr>
          <w:szCs w:val="18"/>
        </w:rPr>
        <w:t>par le décret n°2005-860 du 28 juillet 2005 relatif aux modalités d’admission des demandes d’aide médicale de l’Etat et par l’arrêté du 10 juillet 2009</w:t>
      </w:r>
      <w:r w:rsidRPr="006C361B">
        <w:rPr>
          <w:rFonts w:ascii="Arial" w:hAnsi="Arial" w:cs="Arial"/>
          <w:b/>
          <w:bCs/>
          <w:szCs w:val="18"/>
        </w:rPr>
        <w:t xml:space="preserve"> </w:t>
      </w:r>
      <w:r w:rsidRPr="006C361B">
        <w:rPr>
          <w:szCs w:val="18"/>
        </w:rPr>
        <w:t>relatif au titre d’admission au bénéfice de l’aide méd</w:t>
      </w:r>
      <w:r w:rsidRPr="006C361B">
        <w:rPr>
          <w:szCs w:val="18"/>
        </w:rPr>
        <w:t>i</w:t>
      </w:r>
      <w:r w:rsidRPr="006C361B">
        <w:rPr>
          <w:szCs w:val="18"/>
        </w:rPr>
        <w:t>cale de l’Etat</w:t>
      </w:r>
      <w:r>
        <w:rPr>
          <w:szCs w:val="18"/>
        </w:rPr>
        <w:t>.</w:t>
      </w:r>
    </w:p>
  </w:footnote>
  <w:footnote w:id="65">
    <w:p w14:paraId="4A1946A7" w14:textId="6712D001" w:rsidR="00CE4F47" w:rsidRDefault="00CE4F47" w:rsidP="0075351A">
      <w:pPr>
        <w:pStyle w:val="Notedebasdepage"/>
      </w:pPr>
      <w:r>
        <w:rPr>
          <w:rStyle w:val="Appelnotedebasdep"/>
        </w:rPr>
        <w:footnoteRef/>
      </w:r>
      <w:r>
        <w:t xml:space="preserve"> Plusieurs définitions du handicap peuvent être retenues. En fonction de leur caractère plus ou moins restrictif, elles conduisent à une estimation du nombre de personnes handicapées allant de de 1 million à plus de 11 millions (Roy, 2017). La définition retenue par la DREES est une définition large du handicap. </w:t>
      </w:r>
    </w:p>
  </w:footnote>
  <w:footnote w:id="66">
    <w:p w14:paraId="46B847D7" w14:textId="77777777" w:rsidR="00CE4F47" w:rsidRDefault="00CE4F47" w:rsidP="0075351A">
      <w:pPr>
        <w:pStyle w:val="Notedebasdepage"/>
      </w:pPr>
      <w:r>
        <w:rPr>
          <w:rStyle w:val="Appelnotedebasdep"/>
        </w:rPr>
        <w:footnoteRef/>
      </w:r>
      <w:r>
        <w:t xml:space="preserve"> </w:t>
      </w:r>
      <w:r w:rsidRPr="006C361B">
        <w:t>Présenter une limitation n’implique pas nécessairement une reconnaissance administrative.</w:t>
      </w:r>
    </w:p>
  </w:footnote>
  <w:footnote w:id="67">
    <w:p w14:paraId="26A8CE69" w14:textId="77777777" w:rsidR="00CE4F47" w:rsidRDefault="00CE4F47" w:rsidP="0075351A">
      <w:pPr>
        <w:pStyle w:val="Notedebasdepage"/>
      </w:pPr>
      <w:r>
        <w:rPr>
          <w:rStyle w:val="Appelnotedebasdep"/>
        </w:rPr>
        <w:footnoteRef/>
      </w:r>
      <w:r>
        <w:t xml:space="preserve"> Anaïs Levieil (DREES), 2017, « Le niveau de vie des personnes handicapées : des différences marquées selon les limitations », Études et Résultats, n°1003, Drees, mars</w:t>
      </w:r>
    </w:p>
  </w:footnote>
  <w:footnote w:id="68">
    <w:p w14:paraId="35035AAD" w14:textId="57C29599" w:rsidR="00CE4F47" w:rsidRDefault="00CE4F47" w:rsidP="009B697F">
      <w:r>
        <w:rPr>
          <w:rStyle w:val="Appelnotedebasdep"/>
        </w:rPr>
        <w:footnoteRef/>
      </w:r>
      <w:r>
        <w:t xml:space="preserve"> </w:t>
      </w:r>
      <w:r w:rsidRPr="00BE6A72">
        <w:rPr>
          <w:i/>
          <w:sz w:val="18"/>
          <w:szCs w:val="18"/>
        </w:rPr>
        <w:t>La dépense restant à la charge des bénéficiaires de l’ACS après intervention de l’assurance maladie obligatoire et de l’assurance complémentaire représente environ 6% de leur dépense totale (cf rapport annuel du Fonds CMU</w:t>
      </w:r>
      <w:r w:rsidRPr="00BE6A72">
        <w:rPr>
          <w:i/>
          <w:sz w:val="18"/>
          <w:szCs w:val="18"/>
        </w:rPr>
        <w:noBreakHyphen/>
        <w:t>C sur l’ ACS, o</w:t>
      </w:r>
      <w:r w:rsidRPr="00BE6A72">
        <w:rPr>
          <w:i/>
          <w:sz w:val="18"/>
          <w:szCs w:val="18"/>
        </w:rPr>
        <w:t>c</w:t>
      </w:r>
      <w:r w:rsidRPr="00BE6A72">
        <w:rPr>
          <w:i/>
          <w:sz w:val="18"/>
          <w:szCs w:val="18"/>
        </w:rPr>
        <w:t>tobre 2017). Ce chiffre est de 8% en population générale selon la DREES.</w:t>
      </w:r>
    </w:p>
  </w:footnote>
  <w:footnote w:id="69">
    <w:p w14:paraId="5CBA7217" w14:textId="77777777" w:rsidR="00CE4F47" w:rsidRPr="00347C06" w:rsidRDefault="00CE4F47" w:rsidP="009B697F">
      <w:pPr>
        <w:pStyle w:val="Notedebasdepage"/>
        <w:rPr>
          <w:rFonts w:eastAsiaTheme="minorHAnsi"/>
          <w:szCs w:val="18"/>
          <w:lang w:eastAsia="en-US"/>
        </w:rPr>
      </w:pPr>
      <w:r>
        <w:rPr>
          <w:rStyle w:val="Appelnotedebasdep"/>
        </w:rPr>
        <w:footnoteRef/>
      </w:r>
      <w:r>
        <w:t xml:space="preserve"> </w:t>
      </w:r>
      <w:r w:rsidRPr="00347C06">
        <w:rPr>
          <w:rFonts w:eastAsiaTheme="minorHAnsi"/>
          <w:szCs w:val="18"/>
          <w:lang w:eastAsia="en-US"/>
        </w:rPr>
        <w:t>Dans certain</w:t>
      </w:r>
      <w:r>
        <w:rPr>
          <w:rFonts w:eastAsiaTheme="minorHAnsi"/>
          <w:szCs w:val="18"/>
          <w:lang w:eastAsia="en-US"/>
        </w:rPr>
        <w:t>e</w:t>
      </w:r>
      <w:r w:rsidRPr="00347C06">
        <w:rPr>
          <w:rFonts w:eastAsiaTheme="minorHAnsi"/>
          <w:szCs w:val="18"/>
          <w:lang w:eastAsia="en-US"/>
        </w:rPr>
        <w:t>s configuration</w:t>
      </w:r>
      <w:r>
        <w:rPr>
          <w:rFonts w:eastAsiaTheme="minorHAnsi"/>
          <w:szCs w:val="18"/>
          <w:lang w:eastAsia="en-US"/>
        </w:rPr>
        <w:t>s</w:t>
      </w:r>
      <w:r w:rsidRPr="00347C06">
        <w:rPr>
          <w:rFonts w:eastAsiaTheme="minorHAnsi"/>
          <w:szCs w:val="18"/>
          <w:lang w:eastAsia="en-US"/>
        </w:rPr>
        <w:t xml:space="preserve"> familia</w:t>
      </w:r>
      <w:r>
        <w:rPr>
          <w:rFonts w:eastAsiaTheme="minorHAnsi"/>
          <w:szCs w:val="18"/>
          <w:lang w:eastAsia="en-US"/>
        </w:rPr>
        <w:t>l</w:t>
      </w:r>
      <w:r w:rsidRPr="00347C06">
        <w:rPr>
          <w:rFonts w:eastAsiaTheme="minorHAnsi"/>
          <w:szCs w:val="18"/>
          <w:lang w:eastAsia="en-US"/>
        </w:rPr>
        <w:t>es et de ressources, les titu</w:t>
      </w:r>
      <w:r>
        <w:rPr>
          <w:rFonts w:eastAsiaTheme="minorHAnsi"/>
          <w:szCs w:val="18"/>
          <w:lang w:eastAsia="en-US"/>
        </w:rPr>
        <w:t xml:space="preserve">laires </w:t>
      </w:r>
      <w:r w:rsidRPr="00347C06">
        <w:rPr>
          <w:rFonts w:eastAsiaTheme="minorHAnsi"/>
          <w:szCs w:val="18"/>
          <w:lang w:eastAsia="en-US"/>
        </w:rPr>
        <w:t>de l’AHH peuvent être élig</w:t>
      </w:r>
      <w:r>
        <w:rPr>
          <w:rFonts w:eastAsiaTheme="minorHAnsi"/>
          <w:szCs w:val="18"/>
          <w:lang w:eastAsia="en-US"/>
        </w:rPr>
        <w:t>i</w:t>
      </w:r>
      <w:r w:rsidRPr="00347C06">
        <w:rPr>
          <w:rFonts w:eastAsiaTheme="minorHAnsi"/>
          <w:szCs w:val="18"/>
          <w:lang w:eastAsia="en-US"/>
        </w:rPr>
        <w:t>b</w:t>
      </w:r>
      <w:r>
        <w:rPr>
          <w:rFonts w:eastAsiaTheme="minorHAnsi"/>
          <w:szCs w:val="18"/>
          <w:lang w:eastAsia="en-US"/>
        </w:rPr>
        <w:t>l</w:t>
      </w:r>
      <w:r w:rsidRPr="00347C06">
        <w:rPr>
          <w:rFonts w:eastAsiaTheme="minorHAnsi"/>
          <w:szCs w:val="18"/>
          <w:lang w:eastAsia="en-US"/>
        </w:rPr>
        <w:t xml:space="preserve">es à la CMU-C. </w:t>
      </w:r>
    </w:p>
  </w:footnote>
  <w:footnote w:id="70">
    <w:p w14:paraId="77B7D4FD" w14:textId="00A7F1D5" w:rsidR="00CE4F47" w:rsidRPr="00C54C85" w:rsidRDefault="00CE4F47" w:rsidP="009B697F">
      <w:pPr>
        <w:pStyle w:val="Notedebasdepage"/>
        <w:rPr>
          <w:szCs w:val="18"/>
        </w:rPr>
      </w:pPr>
      <w:r>
        <w:rPr>
          <w:rStyle w:val="Appelnotedebasdep"/>
        </w:rPr>
        <w:footnoteRef/>
      </w:r>
      <w:r>
        <w:t xml:space="preserve"> </w:t>
      </w:r>
      <w:r>
        <w:rPr>
          <w:szCs w:val="18"/>
        </w:rPr>
        <w:t>A</w:t>
      </w:r>
      <w:r w:rsidRPr="00C54C85">
        <w:rPr>
          <w:szCs w:val="18"/>
        </w:rPr>
        <w:t xml:space="preserve"> l’exception des médicaments à service médical rendu modéré, des médicaments homéopathiques et de certaines prépar</w:t>
      </w:r>
      <w:r w:rsidRPr="00C54C85">
        <w:rPr>
          <w:szCs w:val="18"/>
        </w:rPr>
        <w:t>a</w:t>
      </w:r>
      <w:r w:rsidRPr="00C54C85">
        <w:rPr>
          <w:szCs w:val="18"/>
        </w:rPr>
        <w:t>tions magistrales remboursés à 30%, et des médicaments à service médical faible remboursés à 15%</w:t>
      </w:r>
      <w:r>
        <w:rPr>
          <w:szCs w:val="18"/>
        </w:rPr>
        <w:t>.</w:t>
      </w:r>
    </w:p>
  </w:footnote>
  <w:footnote w:id="71">
    <w:p w14:paraId="6272D8AE" w14:textId="77777777" w:rsidR="00CE4F47" w:rsidRPr="00BE6A72" w:rsidRDefault="00CE4F47" w:rsidP="003A4042">
      <w:pPr>
        <w:pStyle w:val="Notedebasdepage"/>
        <w:rPr>
          <w:rFonts w:asciiTheme="minorHAnsi" w:hAnsiTheme="minorHAnsi" w:cstheme="minorHAnsi"/>
          <w:szCs w:val="18"/>
        </w:rPr>
      </w:pPr>
      <w:r>
        <w:rPr>
          <w:rStyle w:val="Appelnotedebasdep"/>
        </w:rPr>
        <w:footnoteRef/>
      </w:r>
      <w:r>
        <w:t xml:space="preserve"> </w:t>
      </w:r>
      <w:r w:rsidRPr="00BE6A72">
        <w:rPr>
          <w:rFonts w:asciiTheme="minorHAnsi" w:hAnsiTheme="minorHAnsi" w:cstheme="minorHAnsi"/>
          <w:szCs w:val="18"/>
        </w:rPr>
        <w:t>En métropole et pour une personne seule.</w:t>
      </w:r>
    </w:p>
  </w:footnote>
  <w:footnote w:id="72">
    <w:p w14:paraId="4DD61A39" w14:textId="77777777" w:rsidR="00CE4F47" w:rsidRDefault="00CE4F47" w:rsidP="00AE73BE">
      <w:pPr>
        <w:pStyle w:val="Notedebasdepage"/>
      </w:pPr>
      <w:r>
        <w:rPr>
          <w:rStyle w:val="Appelnotedebasdep"/>
        </w:rPr>
        <w:footnoteRef/>
      </w:r>
      <w:r>
        <w:t xml:space="preserve"> Formulaire </w:t>
      </w:r>
      <w:r w:rsidRPr="00820828">
        <w:t>Cerfa n°12504*05, S 3711 g,</w:t>
      </w:r>
      <w:r>
        <w:t xml:space="preserve"> de demande commune pour l’obtention de la CMU-C et de l’aide au paiement de la complémentaire santé.</w:t>
      </w:r>
    </w:p>
  </w:footnote>
  <w:footnote w:id="73">
    <w:p w14:paraId="29B8CC6F" w14:textId="77777777" w:rsidR="00CE4F47" w:rsidRDefault="00CE4F47" w:rsidP="00AE73BE">
      <w:pPr>
        <w:pStyle w:val="Notedebasdepage"/>
      </w:pPr>
      <w:r>
        <w:rPr>
          <w:rStyle w:val="Appelnotedebasdep"/>
        </w:rPr>
        <w:footnoteRef/>
      </w:r>
      <w:r>
        <w:t xml:space="preserve"> Le formulaire est également peu ergonomique et peut nécessiter l’ajout d’informations sur papier.  </w:t>
      </w:r>
    </w:p>
  </w:footnote>
  <w:footnote w:id="74">
    <w:p w14:paraId="31877BFE" w14:textId="127C81E0" w:rsidR="00CE4F47" w:rsidRDefault="00CE4F47" w:rsidP="00AE73BE">
      <w:pPr>
        <w:pStyle w:val="Notedebasdepage"/>
      </w:pPr>
      <w:r>
        <w:rPr>
          <w:rStyle w:val="Appelnotedebasdep"/>
        </w:rPr>
        <w:footnoteRef/>
      </w:r>
      <w:r>
        <w:t xml:space="preserve"> Selon les données de l’Enquête santé européenne-Enquête santé et protection sociale (EHISESPS) 2014, les changements de contrat sont plus fréquents en assurance collective (13%), en raison de la mobilité professionnelle, qu’en assurance individuelle (seulement 8%)</w:t>
      </w:r>
    </w:p>
  </w:footnote>
  <w:footnote w:id="75">
    <w:p w14:paraId="35AC858F" w14:textId="77777777" w:rsidR="00CE4F47" w:rsidRDefault="00CE4F47" w:rsidP="00AE73BE">
      <w:pPr>
        <w:pStyle w:val="Notedebasdepage"/>
      </w:pPr>
      <w:r>
        <w:rPr>
          <w:rStyle w:val="Appelnotedebasdep"/>
        </w:rPr>
        <w:footnoteRef/>
      </w:r>
      <w:r>
        <w:t xml:space="preserve"> Le « rendez-vous prestations » a été reconnu par les pouvoirs publics comme une action innovante lors de la Conférence de lutte contre la précarité des 10 et 11 décembre 2012 et transposé au sein des CAF sous forme de « rendez-vous des droits ».</w:t>
      </w:r>
    </w:p>
  </w:footnote>
  <w:footnote w:id="76">
    <w:p w14:paraId="6AEF8544" w14:textId="77777777" w:rsidR="00CE4F47" w:rsidRDefault="00CE4F47" w:rsidP="00C87799">
      <w:pPr>
        <w:pStyle w:val="Notedebasdepage"/>
      </w:pPr>
      <w:r>
        <w:rPr>
          <w:rStyle w:val="Appelnotedebasdep"/>
        </w:rPr>
        <w:footnoteRef/>
      </w:r>
      <w:r>
        <w:t xml:space="preserve"> La </w:t>
      </w:r>
      <w:r w:rsidRPr="00FF3157">
        <w:t xml:space="preserve">typologie </w:t>
      </w:r>
      <w:r>
        <w:t>comporte</w:t>
      </w:r>
      <w:r w:rsidRPr="00FF3157">
        <w:t xml:space="preserve"> cinq classes homogènes en termes de niveau de garantie : A, B, C, D, E (de la meilleure à la moins bonne couverture). </w:t>
      </w:r>
    </w:p>
  </w:footnote>
  <w:footnote w:id="77">
    <w:p w14:paraId="01D87DCA" w14:textId="09E6D948" w:rsidR="00CE4F47" w:rsidRDefault="00CE4F47" w:rsidP="00C87799">
      <w:pPr>
        <w:pStyle w:val="Notedebasdepage"/>
      </w:pPr>
      <w:r>
        <w:rPr>
          <w:rStyle w:val="Appelnotedebasdep"/>
        </w:rPr>
        <w:footnoteRef/>
      </w:r>
      <w:r>
        <w:t xml:space="preserve"> Hors soins remboursés à 100% (ALD, maternité) et médicaments remboursés à 15% par la sécurité sociale.</w:t>
      </w:r>
    </w:p>
  </w:footnote>
  <w:footnote w:id="78">
    <w:p w14:paraId="695E5A10" w14:textId="0A3827F5" w:rsidR="00CE4F47" w:rsidRDefault="00CE4F47" w:rsidP="00C87799">
      <w:pPr>
        <w:pStyle w:val="Notedebasdepage"/>
      </w:pPr>
      <w:r>
        <w:rPr>
          <w:rStyle w:val="Appelnotedebasdep"/>
        </w:rPr>
        <w:footnoteRef/>
      </w:r>
      <w:r>
        <w:t xml:space="preserve"> </w:t>
      </w:r>
      <w:r w:rsidRPr="003517F4">
        <w:rPr>
          <w:szCs w:val="18"/>
        </w:rPr>
        <w:t>Si le ratio P/C est inférieur à 100%, cela signifie que le montant des cotisations est supérieur à celui des prestations ; le contrat est techniquement excédentaire. Si le ratio P/C est supérieur à 100%, les cotisations sont insuffisantes ; ce qui traduit une situ</w:t>
      </w:r>
      <w:r w:rsidRPr="003517F4">
        <w:rPr>
          <w:szCs w:val="18"/>
        </w:rPr>
        <w:t>a</w:t>
      </w:r>
      <w:r w:rsidRPr="003517F4">
        <w:rPr>
          <w:szCs w:val="18"/>
        </w:rPr>
        <w:t>tion de déficit.</w:t>
      </w:r>
    </w:p>
  </w:footnote>
  <w:footnote w:id="79">
    <w:p w14:paraId="63B2140B" w14:textId="77777777" w:rsidR="00CE4F47" w:rsidRDefault="00CE4F47" w:rsidP="00C87799">
      <w:pPr>
        <w:pStyle w:val="Notedebasdepage"/>
      </w:pPr>
      <w:r>
        <w:rPr>
          <w:rStyle w:val="Appelnotedebasdep"/>
        </w:rPr>
        <w:footnoteRef/>
      </w:r>
      <w:r>
        <w:t xml:space="preserve"> </w:t>
      </w:r>
      <w:r w:rsidRPr="003517F4">
        <w:rPr>
          <w:i w:val="0"/>
          <w:lang w:eastAsia="en-US"/>
        </w:rPr>
        <w:t>cf.</w:t>
      </w:r>
      <w:r w:rsidRPr="00A62A0C">
        <w:rPr>
          <w:lang w:eastAsia="en-US"/>
        </w:rPr>
        <w:t xml:space="preserve"> rapport annuel ACS daté d’octobre 2016</w:t>
      </w:r>
      <w:r>
        <w:rPr>
          <w:lang w:eastAsia="en-US"/>
        </w:rPr>
        <w:t>.</w:t>
      </w:r>
    </w:p>
  </w:footnote>
  <w:footnote w:id="80">
    <w:p w14:paraId="41B7E0FC" w14:textId="77777777" w:rsidR="00CE4F47" w:rsidRPr="00C54C85" w:rsidRDefault="00CE4F47" w:rsidP="00407BD5">
      <w:pPr>
        <w:pStyle w:val="Notedebasdepage"/>
        <w:rPr>
          <w:szCs w:val="18"/>
        </w:rPr>
      </w:pPr>
      <w:r>
        <w:rPr>
          <w:rStyle w:val="Appelnotedebasdep"/>
        </w:rPr>
        <w:footnoteRef/>
      </w:r>
      <w:r>
        <w:t xml:space="preserve"> </w:t>
      </w:r>
      <w:r w:rsidRPr="00C54C85">
        <w:rPr>
          <w:szCs w:val="18"/>
        </w:rPr>
        <w:t>L’identification de cette catégorie dans le SNIIRAM n’est pas exhaustive. Seules les personnes affiliées au régime général au titre de l’AAH ou de la pension invalidité sont identifiées. Les personnes en situation de handicap affiliées pour un autre motif ne sont pas incluses dans cette catégorie.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ADDC2" w14:textId="77777777" w:rsidR="00CE4F47" w:rsidRPr="00A631CB" w:rsidRDefault="00CE4F47" w:rsidP="003E6AE5">
    <w:pPr>
      <w:pStyle w:val="En-tte"/>
      <w:ind w:left="-284" w:right="-284"/>
      <w:jc w:val="center"/>
      <w:rPr>
        <w:noProof/>
        <w:sz w:val="18"/>
        <w:szCs w:val="18"/>
        <w:lang w:eastAsia="fr-FR"/>
      </w:rPr>
    </w:pPr>
    <w:r w:rsidRPr="00A631CB">
      <w:rPr>
        <w:noProof/>
        <w:sz w:val="18"/>
        <w:szCs w:val="18"/>
        <w:lang w:eastAsia="fr-FR"/>
      </w:rPr>
      <w:t>L’accès aux droits et aux soins des personnes en situation de handicap et des personnes en situation de précarité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F03C3" w14:textId="77777777" w:rsidR="00CE4F47" w:rsidRPr="00A631CB" w:rsidRDefault="00CE4F47" w:rsidP="003E6AE5">
    <w:pPr>
      <w:pStyle w:val="En-tte"/>
      <w:jc w:val="center"/>
      <w:rPr>
        <w:sz w:val="18"/>
        <w:szCs w:val="18"/>
      </w:rPr>
    </w:pPr>
    <w:r w:rsidRPr="00A631CB">
      <w:rPr>
        <w:sz w:val="18"/>
        <w:szCs w:val="18"/>
      </w:rPr>
      <w:t>L’accès aux droits et aux soins des personnes en situation de handicap et des personnes en situation de précarité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B3A9C" w14:textId="77777777" w:rsidR="00CE4F47" w:rsidRPr="008D43C6" w:rsidRDefault="00CE4F47" w:rsidP="00FC6A89">
    <w:pPr>
      <w:pStyle w:val="En-tte"/>
    </w:pPr>
    <w:r>
      <w:rPr>
        <w:noProof/>
        <w:lang w:eastAsia="fr-FR"/>
      </w:rPr>
      <w:drawing>
        <wp:inline distT="0" distB="0" distL="0" distR="0" wp14:anchorId="5FF628F2" wp14:editId="018DB80A">
          <wp:extent cx="1009291" cy="160475"/>
          <wp:effectExtent l="0" t="0" r="635"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VB SCARLE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2980" cy="162652"/>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390AF" w14:textId="77777777" w:rsidR="00CE4F47" w:rsidRPr="00465378" w:rsidRDefault="00CE4F47" w:rsidP="0046537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4EF86" w14:textId="77777777" w:rsidR="00CE4F47" w:rsidRPr="0081476F" w:rsidRDefault="00CE4F47" w:rsidP="008147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E2EF662"/>
    <w:lvl w:ilvl="0">
      <w:start w:val="1"/>
      <w:numFmt w:val="decimal"/>
      <w:lvlText w:val="%1."/>
      <w:lvlJc w:val="left"/>
      <w:pPr>
        <w:tabs>
          <w:tab w:val="num" w:pos="1209"/>
        </w:tabs>
        <w:ind w:left="1209" w:hanging="360"/>
      </w:pPr>
    </w:lvl>
  </w:abstractNum>
  <w:abstractNum w:abstractNumId="1">
    <w:nsid w:val="FFFFFF7E"/>
    <w:multiLevelType w:val="singleLevel"/>
    <w:tmpl w:val="C130ED18"/>
    <w:lvl w:ilvl="0">
      <w:start w:val="1"/>
      <w:numFmt w:val="decimal"/>
      <w:lvlText w:val="%1."/>
      <w:lvlJc w:val="left"/>
      <w:pPr>
        <w:tabs>
          <w:tab w:val="num" w:pos="926"/>
        </w:tabs>
        <w:ind w:left="926" w:hanging="360"/>
      </w:pPr>
    </w:lvl>
  </w:abstractNum>
  <w:abstractNum w:abstractNumId="2">
    <w:nsid w:val="FFFFFF7F"/>
    <w:multiLevelType w:val="singleLevel"/>
    <w:tmpl w:val="57747C10"/>
    <w:lvl w:ilvl="0">
      <w:start w:val="1"/>
      <w:numFmt w:val="decimal"/>
      <w:lvlText w:val="%1."/>
      <w:lvlJc w:val="left"/>
      <w:pPr>
        <w:tabs>
          <w:tab w:val="num" w:pos="643"/>
        </w:tabs>
        <w:ind w:left="643" w:hanging="360"/>
      </w:pPr>
    </w:lvl>
  </w:abstractNum>
  <w:abstractNum w:abstractNumId="3">
    <w:nsid w:val="FFFFFF80"/>
    <w:multiLevelType w:val="singleLevel"/>
    <w:tmpl w:val="E26A8E92"/>
    <w:lvl w:ilvl="0">
      <w:start w:val="1"/>
      <w:numFmt w:val="bullet"/>
      <w:pStyle w:val="Listepuces5"/>
      <w:lvlText w:val=""/>
      <w:lvlJc w:val="left"/>
      <w:pPr>
        <w:tabs>
          <w:tab w:val="num" w:pos="1492"/>
        </w:tabs>
        <w:ind w:left="1492" w:hanging="360"/>
      </w:pPr>
      <w:rPr>
        <w:rFonts w:ascii="Symbol" w:hAnsi="Symbol" w:hint="default"/>
      </w:rPr>
    </w:lvl>
  </w:abstractNum>
  <w:abstractNum w:abstractNumId="4">
    <w:nsid w:val="FFFFFF81"/>
    <w:multiLevelType w:val="singleLevel"/>
    <w:tmpl w:val="DE1C62F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027CA386"/>
    <w:lvl w:ilvl="0">
      <w:start w:val="1"/>
      <w:numFmt w:val="bullet"/>
      <w:lvlText w:val=""/>
      <w:lvlJc w:val="left"/>
      <w:pPr>
        <w:tabs>
          <w:tab w:val="num" w:pos="926"/>
        </w:tabs>
        <w:ind w:left="926" w:hanging="360"/>
      </w:pPr>
      <w:rPr>
        <w:rFonts w:ascii="Symbol" w:hAnsi="Symbol" w:hint="default"/>
      </w:rPr>
    </w:lvl>
  </w:abstractNum>
  <w:abstractNum w:abstractNumId="6">
    <w:nsid w:val="FFFFFF88"/>
    <w:multiLevelType w:val="singleLevel"/>
    <w:tmpl w:val="1F52E5E0"/>
    <w:lvl w:ilvl="0">
      <w:start w:val="1"/>
      <w:numFmt w:val="decimal"/>
      <w:pStyle w:val="Listenumros"/>
      <w:lvlText w:val="%1."/>
      <w:lvlJc w:val="left"/>
      <w:pPr>
        <w:tabs>
          <w:tab w:val="num" w:pos="360"/>
        </w:tabs>
        <w:ind w:left="360" w:hanging="360"/>
      </w:pPr>
    </w:lvl>
  </w:abstractNum>
  <w:abstractNum w:abstractNumId="7">
    <w:nsid w:val="00817254"/>
    <w:multiLevelType w:val="multilevel"/>
    <w:tmpl w:val="5CF6D4C6"/>
    <w:name w:val="Annuaire_Stat"/>
    <w:lvl w:ilvl="0">
      <w:start w:val="1"/>
      <w:numFmt w:val="decimal"/>
      <w:suff w:val="space"/>
      <w:lvlText w:val="%1"/>
      <w:lvlJc w:val="left"/>
      <w:pPr>
        <w:ind w:left="0" w:firstLine="0"/>
      </w:pPr>
      <w:rPr>
        <w:rFonts w:hint="default"/>
        <w:u w:val="thick"/>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0F910B4"/>
    <w:multiLevelType w:val="hybridMultilevel"/>
    <w:tmpl w:val="5A7E1884"/>
    <w:lvl w:ilvl="0" w:tplc="41B4E7BA">
      <w:start w:val="1"/>
      <w:numFmt w:val="bullet"/>
      <w:pStyle w:val="Listepuces"/>
      <w:lvlText w:val=""/>
      <w:lvlJc w:val="left"/>
      <w:pPr>
        <w:ind w:left="360" w:hanging="360"/>
      </w:pPr>
      <w:rPr>
        <w:rFonts w:ascii="Wingdings" w:hAnsi="Wingdings" w:hint="default"/>
        <w:color w:val="97BE0D"/>
      </w:rPr>
    </w:lvl>
    <w:lvl w:ilvl="1" w:tplc="4E58DC5A">
      <w:numFmt w:val="bullet"/>
      <w:lvlText w:val="-"/>
      <w:lvlJc w:val="left"/>
      <w:pPr>
        <w:tabs>
          <w:tab w:val="num" w:pos="1250"/>
        </w:tabs>
        <w:ind w:left="1250" w:hanging="170"/>
      </w:pPr>
      <w:rPr>
        <w:rFonts w:ascii="Times New Roman" w:eastAsia="Times New Roman" w:hAnsi="Times New Roman" w:hint="default"/>
      </w:rPr>
    </w:lvl>
    <w:lvl w:ilvl="2" w:tplc="150EFAEA">
      <w:start w:val="1"/>
      <w:numFmt w:val="bullet"/>
      <w:lvlText w:val=""/>
      <w:lvlJc w:val="left"/>
      <w:pPr>
        <w:tabs>
          <w:tab w:val="num" w:pos="2160"/>
        </w:tabs>
        <w:ind w:left="2160" w:hanging="360"/>
      </w:pPr>
      <w:rPr>
        <w:rFonts w:ascii="Wingdings" w:hAnsi="Wingdings" w:hint="default"/>
      </w:rPr>
    </w:lvl>
    <w:lvl w:ilvl="3" w:tplc="944E2156">
      <w:start w:val="1"/>
      <w:numFmt w:val="bullet"/>
      <w:lvlText w:val=""/>
      <w:lvlJc w:val="left"/>
      <w:pPr>
        <w:tabs>
          <w:tab w:val="num" w:pos="2880"/>
        </w:tabs>
        <w:ind w:left="2880" w:hanging="360"/>
      </w:pPr>
      <w:rPr>
        <w:rFonts w:ascii="Symbol" w:hAnsi="Symbol" w:hint="default"/>
      </w:rPr>
    </w:lvl>
    <w:lvl w:ilvl="4" w:tplc="570E48E2">
      <w:start w:val="1"/>
      <w:numFmt w:val="bullet"/>
      <w:lvlText w:val="o"/>
      <w:lvlJc w:val="left"/>
      <w:pPr>
        <w:tabs>
          <w:tab w:val="num" w:pos="3600"/>
        </w:tabs>
        <w:ind w:left="3600" w:hanging="360"/>
      </w:pPr>
      <w:rPr>
        <w:rFonts w:ascii="Courier New" w:hAnsi="Courier New" w:hint="default"/>
      </w:rPr>
    </w:lvl>
    <w:lvl w:ilvl="5" w:tplc="7102FA20">
      <w:start w:val="1"/>
      <w:numFmt w:val="bullet"/>
      <w:lvlText w:val=""/>
      <w:lvlJc w:val="left"/>
      <w:pPr>
        <w:tabs>
          <w:tab w:val="num" w:pos="4320"/>
        </w:tabs>
        <w:ind w:left="4320" w:hanging="360"/>
      </w:pPr>
      <w:rPr>
        <w:rFonts w:ascii="Wingdings" w:hAnsi="Wingdings" w:hint="default"/>
      </w:rPr>
    </w:lvl>
    <w:lvl w:ilvl="6" w:tplc="4E08E300" w:tentative="1">
      <w:start w:val="1"/>
      <w:numFmt w:val="bullet"/>
      <w:lvlText w:val=""/>
      <w:lvlJc w:val="left"/>
      <w:pPr>
        <w:tabs>
          <w:tab w:val="num" w:pos="5040"/>
        </w:tabs>
        <w:ind w:left="5040" w:hanging="360"/>
      </w:pPr>
      <w:rPr>
        <w:rFonts w:ascii="Symbol" w:hAnsi="Symbol" w:hint="default"/>
      </w:rPr>
    </w:lvl>
    <w:lvl w:ilvl="7" w:tplc="1E086E9C" w:tentative="1">
      <w:start w:val="1"/>
      <w:numFmt w:val="bullet"/>
      <w:lvlText w:val="o"/>
      <w:lvlJc w:val="left"/>
      <w:pPr>
        <w:tabs>
          <w:tab w:val="num" w:pos="5760"/>
        </w:tabs>
        <w:ind w:left="5760" w:hanging="360"/>
      </w:pPr>
      <w:rPr>
        <w:rFonts w:ascii="Courier New" w:hAnsi="Courier New" w:hint="default"/>
      </w:rPr>
    </w:lvl>
    <w:lvl w:ilvl="8" w:tplc="EDD47632" w:tentative="1">
      <w:start w:val="1"/>
      <w:numFmt w:val="bullet"/>
      <w:lvlText w:val=""/>
      <w:lvlJc w:val="left"/>
      <w:pPr>
        <w:tabs>
          <w:tab w:val="num" w:pos="6480"/>
        </w:tabs>
        <w:ind w:left="6480" w:hanging="360"/>
      </w:pPr>
      <w:rPr>
        <w:rFonts w:ascii="Wingdings" w:hAnsi="Wingdings" w:hint="default"/>
      </w:rPr>
    </w:lvl>
  </w:abstractNum>
  <w:abstractNum w:abstractNumId="9">
    <w:nsid w:val="00FE4DF9"/>
    <w:multiLevelType w:val="hybridMultilevel"/>
    <w:tmpl w:val="DF8C7B94"/>
    <w:lvl w:ilvl="0" w:tplc="595A3A1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17C0DAB"/>
    <w:multiLevelType w:val="multilevel"/>
    <w:tmpl w:val="5996320A"/>
    <w:lvl w:ilvl="0">
      <w:start w:val="1"/>
      <w:numFmt w:val="decimal"/>
      <w:lvlText w:val="%1"/>
      <w:lvlJc w:val="left"/>
      <w:pPr>
        <w:ind w:left="1418" w:hanging="738"/>
      </w:pPr>
      <w:rPr>
        <w:rFonts w:hint="default"/>
      </w:rPr>
    </w:lvl>
    <w:lvl w:ilvl="1">
      <w:start w:val="1"/>
      <w:numFmt w:val="decimal"/>
      <w:pStyle w:val="AnnexeTitre2"/>
      <w:suff w:val="space"/>
      <w:lvlText w:val="Annexe %2"/>
      <w:lvlJc w:val="left"/>
      <w:pPr>
        <w:ind w:left="851" w:firstLine="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3135" w:hanging="1008"/>
      </w:pPr>
      <w:rPr>
        <w:rFonts w:hint="default"/>
      </w:rPr>
    </w:lvl>
    <w:lvl w:ilvl="5">
      <w:start w:val="1"/>
      <w:numFmt w:val="decimal"/>
      <w:lvlText w:val="%1.%2.%3.%4.%5.%6"/>
      <w:lvlJc w:val="left"/>
      <w:pPr>
        <w:ind w:left="3279" w:hanging="1152"/>
      </w:pPr>
      <w:rPr>
        <w:rFonts w:hint="default"/>
      </w:rPr>
    </w:lvl>
    <w:lvl w:ilvl="6">
      <w:start w:val="1"/>
      <w:numFmt w:val="decimal"/>
      <w:lvlText w:val="%1.%2.%3.%4.%5.%6.%7"/>
      <w:lvlJc w:val="left"/>
      <w:pPr>
        <w:ind w:left="3423" w:hanging="1296"/>
      </w:pPr>
      <w:rPr>
        <w:rFonts w:hint="default"/>
      </w:rPr>
    </w:lvl>
    <w:lvl w:ilvl="7">
      <w:start w:val="1"/>
      <w:numFmt w:val="decimal"/>
      <w:lvlText w:val="%1.%2.%3.%4.%5.%6.%7.%8"/>
      <w:lvlJc w:val="left"/>
      <w:pPr>
        <w:ind w:left="3567" w:hanging="1440"/>
      </w:pPr>
      <w:rPr>
        <w:rFonts w:hint="default"/>
      </w:rPr>
    </w:lvl>
    <w:lvl w:ilvl="8">
      <w:start w:val="1"/>
      <w:numFmt w:val="decimal"/>
      <w:lvlText w:val="%1.%2.%3.%4.%5.%6.%7.%8.%9"/>
      <w:lvlJc w:val="left"/>
      <w:pPr>
        <w:ind w:left="3711" w:hanging="1584"/>
      </w:pPr>
      <w:rPr>
        <w:rFonts w:hint="default"/>
      </w:rPr>
    </w:lvl>
  </w:abstractNum>
  <w:abstractNum w:abstractNumId="11">
    <w:nsid w:val="053A2C95"/>
    <w:multiLevelType w:val="hybridMultilevel"/>
    <w:tmpl w:val="16422FEE"/>
    <w:lvl w:ilvl="0" w:tplc="FCAC108C">
      <w:start w:val="1"/>
      <w:numFmt w:val="bullet"/>
      <w:pStyle w:val="EncadreListepuces"/>
      <w:lvlText w:val=""/>
      <w:lvlJc w:val="left"/>
      <w:pPr>
        <w:ind w:left="1004" w:hanging="360"/>
      </w:pPr>
      <w:rPr>
        <w:rFonts w:ascii="Wingdings" w:hAnsi="Wingdings" w:hint="default"/>
        <w:color w:val="96BE1E"/>
        <w:sz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06E1139D"/>
    <w:multiLevelType w:val="hybridMultilevel"/>
    <w:tmpl w:val="8F02CF6A"/>
    <w:lvl w:ilvl="0" w:tplc="124410F2">
      <w:start w:val="1"/>
      <w:numFmt w:val="bullet"/>
      <w:pStyle w:val="Bullet1"/>
      <w:lvlText w:val=""/>
      <w:lvlJc w:val="left"/>
      <w:pPr>
        <w:ind w:left="720" w:hanging="360"/>
      </w:pPr>
      <w:rPr>
        <w:rFonts w:ascii="Symbol" w:hAnsi="Symbol" w:hint="default"/>
      </w:rPr>
    </w:lvl>
    <w:lvl w:ilvl="1" w:tplc="8BC22EB6">
      <w:start w:val="1"/>
      <w:numFmt w:val="bullet"/>
      <w:pStyle w:val="Bullet1"/>
      <w:lvlText w:val="—"/>
      <w:lvlJc w:val="left"/>
      <w:pPr>
        <w:ind w:left="1440" w:hanging="360"/>
      </w:pPr>
      <w:rPr>
        <w:rFonts w:ascii="Calibri" w:hAnsi="Calibri" w:hint="default"/>
      </w:rPr>
    </w:lvl>
    <w:lvl w:ilvl="2" w:tplc="A0E273F8">
      <w:start w:val="1"/>
      <w:numFmt w:val="bullet"/>
      <w:pStyle w:val="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A26719"/>
    <w:multiLevelType w:val="hybridMultilevel"/>
    <w:tmpl w:val="154660BA"/>
    <w:lvl w:ilvl="0" w:tplc="040C0001">
      <w:start w:val="1"/>
      <w:numFmt w:val="bullet"/>
      <w:pStyle w:val="Lgende"/>
      <w:lvlText w:val=""/>
      <w:lvlJc w:val="left"/>
      <w:pPr>
        <w:ind w:left="360" w:hanging="360"/>
      </w:pPr>
      <w:rPr>
        <w:rFonts w:ascii="Symbol" w:hAnsi="Symbol" w:hint="default"/>
        <w:color w:val="auto"/>
      </w:rPr>
    </w:lvl>
    <w:lvl w:ilvl="1" w:tplc="84DECCC4" w:tentative="1">
      <w:start w:val="1"/>
      <w:numFmt w:val="bullet"/>
      <w:lvlText w:val="o"/>
      <w:lvlJc w:val="left"/>
      <w:pPr>
        <w:ind w:left="1440" w:hanging="360"/>
      </w:pPr>
      <w:rPr>
        <w:rFonts w:ascii="Courier New" w:hAnsi="Courier New" w:hint="default"/>
      </w:rPr>
    </w:lvl>
    <w:lvl w:ilvl="2" w:tplc="1AB26720" w:tentative="1">
      <w:start w:val="1"/>
      <w:numFmt w:val="bullet"/>
      <w:lvlText w:val=""/>
      <w:lvlJc w:val="left"/>
      <w:pPr>
        <w:ind w:left="2160" w:hanging="360"/>
      </w:pPr>
      <w:rPr>
        <w:rFonts w:ascii="Wingdings" w:hAnsi="Wingdings" w:hint="default"/>
      </w:rPr>
    </w:lvl>
    <w:lvl w:ilvl="3" w:tplc="CE60F18E" w:tentative="1">
      <w:start w:val="1"/>
      <w:numFmt w:val="bullet"/>
      <w:lvlText w:val=""/>
      <w:lvlJc w:val="left"/>
      <w:pPr>
        <w:ind w:left="2880" w:hanging="360"/>
      </w:pPr>
      <w:rPr>
        <w:rFonts w:ascii="Symbol" w:hAnsi="Symbol" w:hint="default"/>
      </w:rPr>
    </w:lvl>
    <w:lvl w:ilvl="4" w:tplc="54548DA4" w:tentative="1">
      <w:start w:val="1"/>
      <w:numFmt w:val="bullet"/>
      <w:lvlText w:val="o"/>
      <w:lvlJc w:val="left"/>
      <w:pPr>
        <w:ind w:left="3600" w:hanging="360"/>
      </w:pPr>
      <w:rPr>
        <w:rFonts w:ascii="Courier New" w:hAnsi="Courier New" w:hint="default"/>
      </w:rPr>
    </w:lvl>
    <w:lvl w:ilvl="5" w:tplc="633A000C" w:tentative="1">
      <w:start w:val="1"/>
      <w:numFmt w:val="bullet"/>
      <w:lvlText w:val=""/>
      <w:lvlJc w:val="left"/>
      <w:pPr>
        <w:ind w:left="4320" w:hanging="360"/>
      </w:pPr>
      <w:rPr>
        <w:rFonts w:ascii="Wingdings" w:hAnsi="Wingdings" w:hint="default"/>
      </w:rPr>
    </w:lvl>
    <w:lvl w:ilvl="6" w:tplc="1F486D5C" w:tentative="1">
      <w:start w:val="1"/>
      <w:numFmt w:val="bullet"/>
      <w:lvlText w:val=""/>
      <w:lvlJc w:val="left"/>
      <w:pPr>
        <w:ind w:left="5040" w:hanging="360"/>
      </w:pPr>
      <w:rPr>
        <w:rFonts w:ascii="Symbol" w:hAnsi="Symbol" w:hint="default"/>
      </w:rPr>
    </w:lvl>
    <w:lvl w:ilvl="7" w:tplc="C616E358" w:tentative="1">
      <w:start w:val="1"/>
      <w:numFmt w:val="bullet"/>
      <w:lvlText w:val="o"/>
      <w:lvlJc w:val="left"/>
      <w:pPr>
        <w:ind w:left="5760" w:hanging="360"/>
      </w:pPr>
      <w:rPr>
        <w:rFonts w:ascii="Courier New" w:hAnsi="Courier New" w:hint="default"/>
      </w:rPr>
    </w:lvl>
    <w:lvl w:ilvl="8" w:tplc="6BB2068A" w:tentative="1">
      <w:start w:val="1"/>
      <w:numFmt w:val="bullet"/>
      <w:lvlText w:val=""/>
      <w:lvlJc w:val="left"/>
      <w:pPr>
        <w:ind w:left="6480" w:hanging="360"/>
      </w:pPr>
      <w:rPr>
        <w:rFonts w:ascii="Wingdings" w:hAnsi="Wingdings" w:hint="default"/>
      </w:rPr>
    </w:lvl>
  </w:abstractNum>
  <w:abstractNum w:abstractNumId="14">
    <w:nsid w:val="130B39C2"/>
    <w:multiLevelType w:val="hybridMultilevel"/>
    <w:tmpl w:val="3E3CEE5A"/>
    <w:lvl w:ilvl="0" w:tplc="5F20A2A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D044DB"/>
    <w:multiLevelType w:val="hybridMultilevel"/>
    <w:tmpl w:val="7EDEA5BC"/>
    <w:name w:val="Annuaire_Statistique22"/>
    <w:lvl w:ilvl="0" w:tplc="24AEAE28">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6">
    <w:nsid w:val="27F64AF2"/>
    <w:multiLevelType w:val="hybridMultilevel"/>
    <w:tmpl w:val="2D184594"/>
    <w:lvl w:ilvl="0" w:tplc="A238D65C">
      <w:start w:val="1"/>
      <w:numFmt w:val="bullet"/>
      <w:pStyle w:val="EncadreListeContinue"/>
      <w:lvlText w:val="–"/>
      <w:lvlJc w:val="left"/>
      <w:pPr>
        <w:ind w:left="1004" w:hanging="360"/>
      </w:pPr>
      <w:rPr>
        <w:rFonts w:ascii="Calibri" w:hAnsi="Calibri"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nsid w:val="2DC80885"/>
    <w:multiLevelType w:val="multilevel"/>
    <w:tmpl w:val="48184EC0"/>
    <w:lvl w:ilvl="0">
      <w:start w:val="1"/>
      <w:numFmt w:val="none"/>
      <w:suff w:val="nothing"/>
      <w:lvlText w:val=""/>
      <w:lvlJc w:val="left"/>
      <w:pPr>
        <w:ind w:left="0" w:firstLine="0"/>
      </w:pPr>
      <w:rPr>
        <w:rFonts w:cs="Times New Roman" w:hint="default"/>
      </w:rPr>
    </w:lvl>
    <w:lvl w:ilvl="1">
      <w:start w:val="1"/>
      <w:numFmt w:val="decimal"/>
      <w:pStyle w:val="Titre2Annexes"/>
      <w:suff w:val="space"/>
      <w:lvlText w:val="Annexe %2."/>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pStyle w:val="Titre2Annexes"/>
      <w:suff w:val="space"/>
      <w:lvlText w:val=""/>
      <w:lvlJc w:val="right"/>
      <w:pPr>
        <w:ind w:left="0" w:firstLine="0"/>
      </w:pPr>
      <w:rPr>
        <w:rFonts w:cs="Times New Roman" w:hint="default"/>
      </w:rPr>
    </w:lvl>
    <w:lvl w:ilvl="3">
      <w:start w:val="1"/>
      <w:numFmt w:val="none"/>
      <w:pStyle w:val="Liste"/>
      <w:suff w:val="space"/>
      <w:lvlText w:val=""/>
      <w:lvlJc w:val="left"/>
      <w:pPr>
        <w:ind w:left="0" w:firstLine="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nsid w:val="2F743C72"/>
    <w:multiLevelType w:val="hybridMultilevel"/>
    <w:tmpl w:val="C61826B8"/>
    <w:lvl w:ilvl="0" w:tplc="E41A5F6A">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A3F5187"/>
    <w:multiLevelType w:val="hybridMultilevel"/>
    <w:tmpl w:val="7160C8FC"/>
    <w:lvl w:ilvl="0" w:tplc="79845FE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2F0867"/>
    <w:multiLevelType w:val="hybridMultilevel"/>
    <w:tmpl w:val="E8BAAA1C"/>
    <w:lvl w:ilvl="0" w:tplc="F3D4A546">
      <w:start w:val="3"/>
      <w:numFmt w:val="bullet"/>
      <w:lvlText w:val="-"/>
      <w:lvlJc w:val="left"/>
      <w:pPr>
        <w:ind w:left="1080" w:hanging="360"/>
      </w:pPr>
      <w:rPr>
        <w:rFonts w:ascii="Calibri" w:eastAsia="Calibri" w:hAnsi="Calibri"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3E8C2F89"/>
    <w:multiLevelType w:val="hybridMultilevel"/>
    <w:tmpl w:val="C396FDA8"/>
    <w:lvl w:ilvl="0" w:tplc="8DBABF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FD7687C"/>
    <w:multiLevelType w:val="hybridMultilevel"/>
    <w:tmpl w:val="4052EF08"/>
    <w:lvl w:ilvl="0" w:tplc="039021EA">
      <w:start w:val="1"/>
      <w:numFmt w:val="bullet"/>
      <w:pStyle w:val="Listecontinue"/>
      <w:lvlText w:val="–"/>
      <w:lvlJc w:val="left"/>
      <w:pPr>
        <w:tabs>
          <w:tab w:val="num" w:pos="284"/>
        </w:tabs>
        <w:ind w:left="284" w:hanging="284"/>
      </w:pPr>
      <w:rPr>
        <w:rFonts w:ascii="Arial" w:hAnsi="Arial" w:hint="default"/>
      </w:rPr>
    </w:lvl>
    <w:lvl w:ilvl="1" w:tplc="7BD2B6EE" w:tentative="1">
      <w:start w:val="1"/>
      <w:numFmt w:val="bullet"/>
      <w:lvlText w:val="o"/>
      <w:lvlJc w:val="left"/>
      <w:pPr>
        <w:tabs>
          <w:tab w:val="num" w:pos="1440"/>
        </w:tabs>
        <w:ind w:left="1440" w:hanging="360"/>
      </w:pPr>
      <w:rPr>
        <w:rFonts w:ascii="Courier New" w:hAnsi="Courier New" w:hint="default"/>
      </w:rPr>
    </w:lvl>
    <w:lvl w:ilvl="2" w:tplc="675800E6" w:tentative="1">
      <w:start w:val="1"/>
      <w:numFmt w:val="bullet"/>
      <w:lvlText w:val=""/>
      <w:lvlJc w:val="left"/>
      <w:pPr>
        <w:tabs>
          <w:tab w:val="num" w:pos="2160"/>
        </w:tabs>
        <w:ind w:left="2160" w:hanging="360"/>
      </w:pPr>
      <w:rPr>
        <w:rFonts w:ascii="Wingdings" w:hAnsi="Wingdings" w:hint="default"/>
      </w:rPr>
    </w:lvl>
    <w:lvl w:ilvl="3" w:tplc="B64C3462" w:tentative="1">
      <w:start w:val="1"/>
      <w:numFmt w:val="bullet"/>
      <w:lvlText w:val=""/>
      <w:lvlJc w:val="left"/>
      <w:pPr>
        <w:tabs>
          <w:tab w:val="num" w:pos="2880"/>
        </w:tabs>
        <w:ind w:left="2880" w:hanging="360"/>
      </w:pPr>
      <w:rPr>
        <w:rFonts w:ascii="Symbol" w:hAnsi="Symbol" w:hint="default"/>
      </w:rPr>
    </w:lvl>
    <w:lvl w:ilvl="4" w:tplc="DB888C06" w:tentative="1">
      <w:start w:val="1"/>
      <w:numFmt w:val="bullet"/>
      <w:lvlText w:val="o"/>
      <w:lvlJc w:val="left"/>
      <w:pPr>
        <w:tabs>
          <w:tab w:val="num" w:pos="3600"/>
        </w:tabs>
        <w:ind w:left="3600" w:hanging="360"/>
      </w:pPr>
      <w:rPr>
        <w:rFonts w:ascii="Courier New" w:hAnsi="Courier New" w:hint="default"/>
      </w:rPr>
    </w:lvl>
    <w:lvl w:ilvl="5" w:tplc="26EA439E" w:tentative="1">
      <w:start w:val="1"/>
      <w:numFmt w:val="bullet"/>
      <w:lvlText w:val=""/>
      <w:lvlJc w:val="left"/>
      <w:pPr>
        <w:tabs>
          <w:tab w:val="num" w:pos="4320"/>
        </w:tabs>
        <w:ind w:left="4320" w:hanging="360"/>
      </w:pPr>
      <w:rPr>
        <w:rFonts w:ascii="Wingdings" w:hAnsi="Wingdings" w:hint="default"/>
      </w:rPr>
    </w:lvl>
    <w:lvl w:ilvl="6" w:tplc="68922074" w:tentative="1">
      <w:start w:val="1"/>
      <w:numFmt w:val="bullet"/>
      <w:lvlText w:val=""/>
      <w:lvlJc w:val="left"/>
      <w:pPr>
        <w:tabs>
          <w:tab w:val="num" w:pos="5040"/>
        </w:tabs>
        <w:ind w:left="5040" w:hanging="360"/>
      </w:pPr>
      <w:rPr>
        <w:rFonts w:ascii="Symbol" w:hAnsi="Symbol" w:hint="default"/>
      </w:rPr>
    </w:lvl>
    <w:lvl w:ilvl="7" w:tplc="478654EE" w:tentative="1">
      <w:start w:val="1"/>
      <w:numFmt w:val="bullet"/>
      <w:lvlText w:val="o"/>
      <w:lvlJc w:val="left"/>
      <w:pPr>
        <w:tabs>
          <w:tab w:val="num" w:pos="5760"/>
        </w:tabs>
        <w:ind w:left="5760" w:hanging="360"/>
      </w:pPr>
      <w:rPr>
        <w:rFonts w:ascii="Courier New" w:hAnsi="Courier New" w:hint="default"/>
      </w:rPr>
    </w:lvl>
    <w:lvl w:ilvl="8" w:tplc="BC6E4DEC" w:tentative="1">
      <w:start w:val="1"/>
      <w:numFmt w:val="bullet"/>
      <w:lvlText w:val=""/>
      <w:lvlJc w:val="left"/>
      <w:pPr>
        <w:tabs>
          <w:tab w:val="num" w:pos="6480"/>
        </w:tabs>
        <w:ind w:left="6480" w:hanging="360"/>
      </w:pPr>
      <w:rPr>
        <w:rFonts w:ascii="Wingdings" w:hAnsi="Wingdings" w:hint="default"/>
      </w:rPr>
    </w:lvl>
  </w:abstractNum>
  <w:abstractNum w:abstractNumId="23">
    <w:nsid w:val="4BE0227E"/>
    <w:multiLevelType w:val="hybridMultilevel"/>
    <w:tmpl w:val="4BA20F16"/>
    <w:lvl w:ilvl="0" w:tplc="0E0C4748">
      <w:start w:val="1"/>
      <w:numFmt w:val="bullet"/>
      <w:pStyle w:val="Annexe"/>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826765"/>
    <w:multiLevelType w:val="multilevel"/>
    <w:tmpl w:val="2BD4BC88"/>
    <w:name w:val="Titres_Rapport_Cout_Moyen22"/>
    <w:lvl w:ilvl="0">
      <w:start w:val="1"/>
      <w:numFmt w:val="decimal"/>
      <w:suff w:val="space"/>
      <w:lvlText w:val="Annexe %1."/>
      <w:lvlJc w:val="left"/>
      <w:pPr>
        <w:ind w:left="1800" w:hanging="360"/>
      </w:pPr>
      <w:rPr>
        <w:rFonts w:cs="Times New Roman" w:hint="default"/>
      </w:rPr>
    </w:lvl>
    <w:lvl w:ilvl="1">
      <w:start w:val="1"/>
      <w:numFmt w:val="lowerLetter"/>
      <w:lvlText w:val="%2."/>
      <w:lvlJc w:val="left"/>
      <w:pPr>
        <w:ind w:left="2520" w:hanging="360"/>
      </w:pPr>
      <w:rPr>
        <w:rFonts w:cs="Times New Roman" w:hint="default"/>
      </w:rPr>
    </w:lvl>
    <w:lvl w:ilvl="2">
      <w:start w:val="1"/>
      <w:numFmt w:val="lowerRoman"/>
      <w:lvlText w:val="%3."/>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5">
    <w:nsid w:val="547D1983"/>
    <w:multiLevelType w:val="hybridMultilevel"/>
    <w:tmpl w:val="A9105032"/>
    <w:lvl w:ilvl="0" w:tplc="F54ABD10">
      <w:start w:val="1"/>
      <w:numFmt w:val="bullet"/>
      <w:pStyle w:val="Listecontinue2"/>
      <w:lvlText w:val="–"/>
      <w:lvlJc w:val="left"/>
      <w:pPr>
        <w:ind w:left="720" w:hanging="360"/>
      </w:pPr>
      <w:rPr>
        <w:rFonts w:ascii="Times New Roman" w:hAnsi="Times New Roman" w:cs="Times New Roman" w:hint="default"/>
      </w:rPr>
    </w:lvl>
    <w:lvl w:ilvl="1" w:tplc="F6F6D164" w:tentative="1">
      <w:start w:val="1"/>
      <w:numFmt w:val="bullet"/>
      <w:lvlText w:val="o"/>
      <w:lvlJc w:val="left"/>
      <w:pPr>
        <w:ind w:left="1440" w:hanging="360"/>
      </w:pPr>
      <w:rPr>
        <w:rFonts w:ascii="Courier New" w:hAnsi="Courier New" w:cs="Courier New" w:hint="default"/>
      </w:rPr>
    </w:lvl>
    <w:lvl w:ilvl="2" w:tplc="A0BE205C" w:tentative="1">
      <w:start w:val="1"/>
      <w:numFmt w:val="bullet"/>
      <w:lvlText w:val=""/>
      <w:lvlJc w:val="left"/>
      <w:pPr>
        <w:ind w:left="2160" w:hanging="360"/>
      </w:pPr>
      <w:rPr>
        <w:rFonts w:ascii="Wingdings" w:hAnsi="Wingdings" w:hint="default"/>
      </w:rPr>
    </w:lvl>
    <w:lvl w:ilvl="3" w:tplc="F4BEC02C" w:tentative="1">
      <w:start w:val="1"/>
      <w:numFmt w:val="bullet"/>
      <w:lvlText w:val=""/>
      <w:lvlJc w:val="left"/>
      <w:pPr>
        <w:ind w:left="2880" w:hanging="360"/>
      </w:pPr>
      <w:rPr>
        <w:rFonts w:ascii="Symbol" w:hAnsi="Symbol" w:hint="default"/>
      </w:rPr>
    </w:lvl>
    <w:lvl w:ilvl="4" w:tplc="C7D6F26E" w:tentative="1">
      <w:start w:val="1"/>
      <w:numFmt w:val="bullet"/>
      <w:lvlText w:val="o"/>
      <w:lvlJc w:val="left"/>
      <w:pPr>
        <w:ind w:left="3600" w:hanging="360"/>
      </w:pPr>
      <w:rPr>
        <w:rFonts w:ascii="Courier New" w:hAnsi="Courier New" w:cs="Courier New" w:hint="default"/>
      </w:rPr>
    </w:lvl>
    <w:lvl w:ilvl="5" w:tplc="07DCF356" w:tentative="1">
      <w:start w:val="1"/>
      <w:numFmt w:val="bullet"/>
      <w:lvlText w:val=""/>
      <w:lvlJc w:val="left"/>
      <w:pPr>
        <w:ind w:left="4320" w:hanging="360"/>
      </w:pPr>
      <w:rPr>
        <w:rFonts w:ascii="Wingdings" w:hAnsi="Wingdings" w:hint="default"/>
      </w:rPr>
    </w:lvl>
    <w:lvl w:ilvl="6" w:tplc="C19C1B02" w:tentative="1">
      <w:start w:val="1"/>
      <w:numFmt w:val="bullet"/>
      <w:lvlText w:val=""/>
      <w:lvlJc w:val="left"/>
      <w:pPr>
        <w:ind w:left="5040" w:hanging="360"/>
      </w:pPr>
      <w:rPr>
        <w:rFonts w:ascii="Symbol" w:hAnsi="Symbol" w:hint="default"/>
      </w:rPr>
    </w:lvl>
    <w:lvl w:ilvl="7" w:tplc="A05EBC54" w:tentative="1">
      <w:start w:val="1"/>
      <w:numFmt w:val="bullet"/>
      <w:lvlText w:val="o"/>
      <w:lvlJc w:val="left"/>
      <w:pPr>
        <w:ind w:left="5760" w:hanging="360"/>
      </w:pPr>
      <w:rPr>
        <w:rFonts w:ascii="Courier New" w:hAnsi="Courier New" w:cs="Courier New" w:hint="default"/>
      </w:rPr>
    </w:lvl>
    <w:lvl w:ilvl="8" w:tplc="8C1C82A0" w:tentative="1">
      <w:start w:val="1"/>
      <w:numFmt w:val="bullet"/>
      <w:lvlText w:val=""/>
      <w:lvlJc w:val="left"/>
      <w:pPr>
        <w:ind w:left="6480" w:hanging="360"/>
      </w:pPr>
      <w:rPr>
        <w:rFonts w:ascii="Wingdings" w:hAnsi="Wingdings" w:hint="default"/>
      </w:rPr>
    </w:lvl>
  </w:abstractNum>
  <w:abstractNum w:abstractNumId="26">
    <w:nsid w:val="5F4938E9"/>
    <w:multiLevelType w:val="multilevel"/>
    <w:tmpl w:val="4B94E4FE"/>
    <w:name w:val="Titres_Rapport_Cout_Moyen"/>
    <w:lvl w:ilvl="0">
      <w:start w:val="1"/>
      <w:numFmt w:val="decimal"/>
      <w:suff w:val="space"/>
      <w:lvlText w:val="%1"/>
      <w:lvlJc w:val="left"/>
      <w:rPr>
        <w:rFonts w:cs="Times New Roman" w:hint="default"/>
        <w:u w:val="thick"/>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27">
    <w:nsid w:val="63DF32B1"/>
    <w:multiLevelType w:val="multilevel"/>
    <w:tmpl w:val="F33E2A4E"/>
    <w:lvl w:ilvl="0">
      <w:start w:val="1"/>
      <w:numFmt w:val="upperRoman"/>
      <w:pStyle w:val="Titre1"/>
      <w:suff w:val="space"/>
      <w:lvlText w:val="PARTIE %1."/>
      <w:lvlJc w:val="left"/>
      <w:pPr>
        <w:ind w:left="0" w:firstLine="0"/>
      </w:pPr>
      <w:rPr>
        <w:rFonts w:cs="Times New Roman" w:hint="default"/>
        <w:u w:val="none"/>
      </w:rPr>
    </w:lvl>
    <w:lvl w:ilvl="1">
      <w:start w:val="1"/>
      <w:numFmt w:val="decimal"/>
      <w:pStyle w:val="Titre2"/>
      <w:suff w:val="space"/>
      <w:lvlText w:val="%2."/>
      <w:lvlJc w:val="left"/>
      <w:pPr>
        <w:ind w:left="0" w:firstLine="0"/>
      </w:pPr>
      <w:rPr>
        <w:rFonts w:cs="Times New Roman" w:hint="default"/>
      </w:rPr>
    </w:lvl>
    <w:lvl w:ilvl="2">
      <w:start w:val="1"/>
      <w:numFmt w:val="decimal"/>
      <w:pStyle w:val="Titre3"/>
      <w:suff w:val="space"/>
      <w:lvlText w:val="%2.%3."/>
      <w:lvlJc w:val="left"/>
      <w:pPr>
        <w:ind w:left="0" w:firstLine="0"/>
      </w:pPr>
      <w:rPr>
        <w:rFonts w:cs="Times New Roman" w:hint="default"/>
      </w:rPr>
    </w:lvl>
    <w:lvl w:ilvl="3">
      <w:start w:val="1"/>
      <w:numFmt w:val="decimal"/>
      <w:pStyle w:val="Titre4"/>
      <w:suff w:val="space"/>
      <w:lvlText w:val="%2.%3.%4."/>
      <w:lvlJc w:val="left"/>
      <w:pPr>
        <w:ind w:left="0" w:firstLine="0"/>
      </w:pPr>
      <w:rPr>
        <w:rFonts w:cs="Times New Roman" w:hint="default"/>
      </w:rPr>
    </w:lvl>
    <w:lvl w:ilvl="4">
      <w:start w:val="1"/>
      <w:numFmt w:val="decimal"/>
      <w:pStyle w:val="Titre5"/>
      <w:suff w:val="space"/>
      <w:lvlText w:val="%2.%3.%4.%5."/>
      <w:lvlJc w:val="left"/>
      <w:pPr>
        <w:ind w:left="1277" w:firstLine="0"/>
      </w:pPr>
      <w:rPr>
        <w:rFonts w:cs="Times New Roman" w:hint="default"/>
      </w:rPr>
    </w:lvl>
    <w:lvl w:ilvl="5">
      <w:start w:val="1"/>
      <w:numFmt w:val="upperLetter"/>
      <w:pStyle w:val="Titre6"/>
      <w:suff w:val="space"/>
      <w:lvlText w:val="%6."/>
      <w:lvlJc w:val="left"/>
      <w:pPr>
        <w:ind w:left="0" w:firstLine="0"/>
      </w:pPr>
      <w:rPr>
        <w:rFonts w:cs="Times New Roman" w:hint="default"/>
      </w:rPr>
    </w:lvl>
    <w:lvl w:ilvl="6">
      <w:start w:val="1"/>
      <w:numFmt w:val="lowerLetter"/>
      <w:pStyle w:val="Titre7"/>
      <w:suff w:val="space"/>
      <w:lvlText w:val="%7)"/>
      <w:lvlJc w:val="left"/>
      <w:pPr>
        <w:ind w:left="0" w:firstLine="0"/>
      </w:pPr>
      <w:rPr>
        <w:rFonts w:cs="Times New Roman" w:hint="default"/>
      </w:rPr>
    </w:lvl>
    <w:lvl w:ilvl="7">
      <w:start w:val="1"/>
      <w:numFmt w:val="decimal"/>
      <w:pStyle w:val="Titre8"/>
      <w:suff w:val="space"/>
      <w:lvlText w:val="%2.%3.%4.%5.%6.%7.%8."/>
      <w:lvlJc w:val="left"/>
      <w:pPr>
        <w:ind w:left="0" w:firstLine="0"/>
      </w:pPr>
      <w:rPr>
        <w:rFonts w:cs="Times New Roman" w:hint="default"/>
      </w:rPr>
    </w:lvl>
    <w:lvl w:ilvl="8">
      <w:start w:val="1"/>
      <w:numFmt w:val="decimal"/>
      <w:suff w:val="space"/>
      <w:lvlText w:val="%2.%3.%4.%5.%6.%7.%8.%9."/>
      <w:lvlJc w:val="left"/>
      <w:pPr>
        <w:ind w:left="0" w:firstLine="0"/>
      </w:pPr>
      <w:rPr>
        <w:rFonts w:cs="Times New Roman" w:hint="default"/>
      </w:rPr>
    </w:lvl>
  </w:abstractNum>
  <w:abstractNum w:abstractNumId="28">
    <w:nsid w:val="73392CB5"/>
    <w:multiLevelType w:val="hybridMultilevel"/>
    <w:tmpl w:val="AA1C75AA"/>
    <w:name w:val="Annuaire_Statistique2"/>
    <w:lvl w:ilvl="0" w:tplc="FB7202D6">
      <w:start w:val="1"/>
      <w:numFmt w:val="decimal"/>
      <w:lvlText w:val="%1"/>
      <w:lvlJc w:val="left"/>
      <w:pPr>
        <w:ind w:left="720" w:hanging="360"/>
      </w:pPr>
      <w:rPr>
        <w:rFonts w:hint="default"/>
      </w:rPr>
    </w:lvl>
    <w:lvl w:ilvl="1" w:tplc="36DE2E14" w:tentative="1">
      <w:start w:val="1"/>
      <w:numFmt w:val="lowerLetter"/>
      <w:lvlText w:val="%2."/>
      <w:lvlJc w:val="left"/>
      <w:pPr>
        <w:ind w:left="1440" w:hanging="360"/>
      </w:pPr>
    </w:lvl>
    <w:lvl w:ilvl="2" w:tplc="3C2253E2" w:tentative="1">
      <w:start w:val="1"/>
      <w:numFmt w:val="lowerRoman"/>
      <w:lvlText w:val="%3."/>
      <w:lvlJc w:val="right"/>
      <w:pPr>
        <w:ind w:left="2160" w:hanging="180"/>
      </w:pPr>
    </w:lvl>
    <w:lvl w:ilvl="3" w:tplc="9E746022" w:tentative="1">
      <w:start w:val="1"/>
      <w:numFmt w:val="decimal"/>
      <w:lvlText w:val="%4."/>
      <w:lvlJc w:val="left"/>
      <w:pPr>
        <w:ind w:left="2880" w:hanging="360"/>
      </w:pPr>
    </w:lvl>
    <w:lvl w:ilvl="4" w:tplc="75B2C1D4" w:tentative="1">
      <w:start w:val="1"/>
      <w:numFmt w:val="lowerLetter"/>
      <w:lvlText w:val="%5."/>
      <w:lvlJc w:val="left"/>
      <w:pPr>
        <w:ind w:left="3600" w:hanging="360"/>
      </w:pPr>
    </w:lvl>
    <w:lvl w:ilvl="5" w:tplc="8CC2980E" w:tentative="1">
      <w:start w:val="1"/>
      <w:numFmt w:val="lowerRoman"/>
      <w:lvlText w:val="%6."/>
      <w:lvlJc w:val="right"/>
      <w:pPr>
        <w:ind w:left="4320" w:hanging="180"/>
      </w:pPr>
    </w:lvl>
    <w:lvl w:ilvl="6" w:tplc="D634171A" w:tentative="1">
      <w:start w:val="1"/>
      <w:numFmt w:val="decimal"/>
      <w:lvlText w:val="%7."/>
      <w:lvlJc w:val="left"/>
      <w:pPr>
        <w:ind w:left="5040" w:hanging="360"/>
      </w:pPr>
    </w:lvl>
    <w:lvl w:ilvl="7" w:tplc="B314AD9C" w:tentative="1">
      <w:start w:val="1"/>
      <w:numFmt w:val="lowerLetter"/>
      <w:lvlText w:val="%8."/>
      <w:lvlJc w:val="left"/>
      <w:pPr>
        <w:ind w:left="5760" w:hanging="360"/>
      </w:pPr>
    </w:lvl>
    <w:lvl w:ilvl="8" w:tplc="E6F4DB58" w:tentative="1">
      <w:start w:val="1"/>
      <w:numFmt w:val="lowerRoman"/>
      <w:lvlText w:val="%9."/>
      <w:lvlJc w:val="right"/>
      <w:pPr>
        <w:ind w:left="6480" w:hanging="180"/>
      </w:pPr>
    </w:lvl>
  </w:abstractNum>
  <w:abstractNum w:abstractNumId="29">
    <w:nsid w:val="79AF0851"/>
    <w:multiLevelType w:val="multilevel"/>
    <w:tmpl w:val="A4442D9A"/>
    <w:name w:val="Titres_Rapport_Activite2"/>
    <w:lvl w:ilvl="0">
      <w:start w:val="1"/>
      <w:numFmt w:val="decimal"/>
      <w:suff w:val="space"/>
      <w:lvlText w:val="%1"/>
      <w:lvlJc w:val="left"/>
      <w:pPr>
        <w:ind w:left="0" w:firstLine="0"/>
      </w:pPr>
      <w:rPr>
        <w:rFonts w:cs="Times New Roman" w:hint="default"/>
        <w:u w:val="thick"/>
      </w:rPr>
    </w:lvl>
    <w:lvl w:ilvl="1">
      <w:start w:val="1"/>
      <w:numFmt w:val="decimal"/>
      <w:suff w:val="space"/>
      <w:lvlText w:val="%1.%2."/>
      <w:lvlJc w:val="left"/>
      <w:pPr>
        <w:ind w:left="0" w:firstLine="0"/>
      </w:pPr>
      <w:rPr>
        <w:rFonts w:cs="Times New Roman" w:hint="default"/>
      </w:rPr>
    </w:lvl>
    <w:lvl w:ilvl="2">
      <w:start w:val="1"/>
      <w:numFmt w:val="decimal"/>
      <w:suff w:val="space"/>
      <w:lvlText w:val="%1.%2.%3."/>
      <w:lvlJc w:val="left"/>
      <w:pPr>
        <w:ind w:left="0" w:firstLine="0"/>
      </w:pPr>
      <w:rPr>
        <w:rFonts w:cs="Times New Roman" w:hint="default"/>
      </w:rPr>
    </w:lvl>
    <w:lvl w:ilvl="3">
      <w:start w:val="1"/>
      <w:numFmt w:val="decimal"/>
      <w:suff w:val="space"/>
      <w:lvlText w:val="%1.%2.%3.%4."/>
      <w:lvlJc w:val="left"/>
      <w:pPr>
        <w:ind w:left="0" w:firstLine="0"/>
      </w:pPr>
      <w:rPr>
        <w:rFonts w:cs="Times New Roman" w:hint="default"/>
      </w:rPr>
    </w:lvl>
    <w:lvl w:ilvl="4">
      <w:start w:val="1"/>
      <w:numFmt w:val="upperLetter"/>
      <w:suff w:val="space"/>
      <w:lvlText w:val="%5."/>
      <w:lvlJc w:val="left"/>
      <w:pPr>
        <w:ind w:left="0" w:firstLine="0"/>
      </w:pPr>
      <w:rPr>
        <w:rFonts w:cs="Times New Roman" w:hint="default"/>
      </w:rPr>
    </w:lvl>
    <w:lvl w:ilvl="5">
      <w:start w:val="1"/>
      <w:numFmt w:val="lowerLetter"/>
      <w:suff w:val="space"/>
      <w:lvlText w:val="%6)"/>
      <w:lvlJc w:val="left"/>
      <w:pPr>
        <w:ind w:left="0" w:firstLine="0"/>
      </w:pPr>
      <w:rPr>
        <w:rFonts w:cs="Times New Roman" w:hint="default"/>
      </w:rPr>
    </w:lvl>
    <w:lvl w:ilvl="6">
      <w:start w:val="1"/>
      <w:numFmt w:val="decimal"/>
      <w:suff w:val="space"/>
      <w:lvlText w:val="%1.%2.%3.%4.%5.%6.%7"/>
      <w:lvlJc w:val="left"/>
      <w:pPr>
        <w:ind w:left="0" w:firstLine="0"/>
      </w:pPr>
      <w:rPr>
        <w:rFonts w:cs="Times New Roman" w:hint="default"/>
      </w:rPr>
    </w:lvl>
    <w:lvl w:ilvl="7">
      <w:start w:val="1"/>
      <w:numFmt w:val="decimal"/>
      <w:suff w:val="space"/>
      <w:lvlText w:val="%1.%2.%3.%4.%5.%6.%7.%8."/>
      <w:lvlJc w:val="left"/>
      <w:pPr>
        <w:ind w:left="0" w:firstLine="0"/>
      </w:pPr>
      <w:rPr>
        <w:rFonts w:cs="Times New Roman" w:hint="default"/>
      </w:rPr>
    </w:lvl>
    <w:lvl w:ilvl="8">
      <w:start w:val="1"/>
      <w:numFmt w:val="decimal"/>
      <w:suff w:val="space"/>
      <w:lvlText w:val="%1.%2.%3.%4.%5.%6.%7.%8.%9."/>
      <w:lvlJc w:val="left"/>
      <w:pPr>
        <w:ind w:left="0" w:firstLine="0"/>
      </w:pPr>
      <w:rPr>
        <w:rFonts w:cs="Times New Roman" w:hint="default"/>
      </w:rPr>
    </w:lvl>
  </w:abstractNum>
  <w:num w:numId="1">
    <w:abstractNumId w:val="27"/>
  </w:num>
  <w:num w:numId="2">
    <w:abstractNumId w:val="13"/>
  </w:num>
  <w:num w:numId="3">
    <w:abstractNumId w:val="8"/>
  </w:num>
  <w:num w:numId="4">
    <w:abstractNumId w:val="22"/>
  </w:num>
  <w:num w:numId="5">
    <w:abstractNumId w:val="17"/>
  </w:num>
  <w:num w:numId="6">
    <w:abstractNumId w:val="3"/>
  </w:num>
  <w:num w:numId="7">
    <w:abstractNumId w:val="25"/>
  </w:num>
  <w:num w:numId="8">
    <w:abstractNumId w:val="16"/>
  </w:num>
  <w:num w:numId="9">
    <w:abstractNumId w:val="6"/>
  </w:num>
  <w:num w:numId="10">
    <w:abstractNumId w:val="11"/>
  </w:num>
  <w:num w:numId="11">
    <w:abstractNumId w:val="21"/>
  </w:num>
  <w:num w:numId="12">
    <w:abstractNumId w:val="10"/>
  </w:num>
  <w:num w:numId="13">
    <w:abstractNumId w:val="1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
  </w:num>
  <w:num w:numId="23">
    <w:abstractNumId w:val="0"/>
  </w:num>
  <w:num w:numId="24">
    <w:abstractNumId w:val="5"/>
  </w:num>
  <w:num w:numId="25">
    <w:abstractNumId w:val="4"/>
  </w:num>
  <w:num w:numId="26">
    <w:abstractNumId w:val="23"/>
  </w:num>
  <w:num w:numId="27">
    <w:abstractNumId w:val="6"/>
  </w:num>
  <w:num w:numId="28">
    <w:abstractNumId w:val="12"/>
  </w:num>
  <w:num w:numId="29">
    <w:abstractNumId w:val="12"/>
  </w:num>
  <w:num w:numId="30">
    <w:abstractNumId w:val="27"/>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27"/>
  </w:num>
  <w:num w:numId="39">
    <w:abstractNumId w:val="27"/>
  </w:num>
  <w:num w:numId="40">
    <w:abstractNumId w:val="27"/>
  </w:num>
  <w:num w:numId="41">
    <w:abstractNumId w:val="27"/>
  </w:num>
  <w:num w:numId="42">
    <w:abstractNumId w:val="27"/>
  </w:num>
  <w:num w:numId="43">
    <w:abstractNumId w:val="17"/>
  </w:num>
  <w:num w:numId="44">
    <w:abstractNumId w:val="6"/>
  </w:num>
  <w:num w:numId="45">
    <w:abstractNumId w:val="6"/>
  </w:num>
  <w:num w:numId="46">
    <w:abstractNumId w:val="12"/>
  </w:num>
  <w:num w:numId="47">
    <w:abstractNumId w:val="6"/>
  </w:num>
  <w:num w:numId="48">
    <w:abstractNumId w:val="19"/>
  </w:num>
  <w:num w:numId="49">
    <w:abstractNumId w:val="27"/>
  </w:num>
  <w:num w:numId="50">
    <w:abstractNumId w:val="27"/>
  </w:num>
  <w:num w:numId="51">
    <w:abstractNumId w:val="20"/>
  </w:num>
  <w:num w:numId="52">
    <w:abstractNumId w:val="27"/>
  </w:num>
  <w:num w:numId="53">
    <w:abstractNumId w:val="27"/>
  </w:num>
  <w:num w:numId="54">
    <w:abstractNumId w:val="14"/>
  </w:num>
  <w:num w:numId="55">
    <w:abstractNumId w:val="18"/>
  </w:num>
  <w:num w:numId="56">
    <w:abstractNumId w:val="9"/>
  </w:num>
  <w:num w:numId="57">
    <w:abstractNumId w:val="6"/>
  </w:num>
  <w:num w:numId="58">
    <w:abstractNumId w:val="1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hé CAUCHARD">
    <w15:presenceInfo w15:providerId="AD" w15:userId="S-1-5-21-3004605880-3609771305-2667862718-1728"/>
  </w15:person>
  <w15:person w15:author="Marianne CORNU PAUCHET">
    <w15:presenceInfo w15:providerId="AD" w15:userId="S-1-5-21-3004605880-3609771305-2667862718-1709"/>
  </w15:person>
  <w15:person w15:author="Gwenaelle LE BOHEC">
    <w15:presenceInfo w15:providerId="AD" w15:userId="S-1-5-21-3004605880-3609771305-2667862718-1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consecutiveHyphenLimit w:val="1"/>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43D"/>
    <w:rsid w:val="000005D5"/>
    <w:rsid w:val="00000AD4"/>
    <w:rsid w:val="00001442"/>
    <w:rsid w:val="000015C3"/>
    <w:rsid w:val="00005BD2"/>
    <w:rsid w:val="00005FD3"/>
    <w:rsid w:val="0000746E"/>
    <w:rsid w:val="000077A3"/>
    <w:rsid w:val="000103B1"/>
    <w:rsid w:val="00011F97"/>
    <w:rsid w:val="000129AC"/>
    <w:rsid w:val="00014A6F"/>
    <w:rsid w:val="00014EB7"/>
    <w:rsid w:val="00015AF8"/>
    <w:rsid w:val="00015D6A"/>
    <w:rsid w:val="00015F2A"/>
    <w:rsid w:val="0002075A"/>
    <w:rsid w:val="00020A58"/>
    <w:rsid w:val="000214B9"/>
    <w:rsid w:val="00021853"/>
    <w:rsid w:val="000229AB"/>
    <w:rsid w:val="00022B60"/>
    <w:rsid w:val="000232F8"/>
    <w:rsid w:val="00023653"/>
    <w:rsid w:val="000238BE"/>
    <w:rsid w:val="00023ECD"/>
    <w:rsid w:val="00024A71"/>
    <w:rsid w:val="00024F84"/>
    <w:rsid w:val="00025130"/>
    <w:rsid w:val="00025475"/>
    <w:rsid w:val="0002617B"/>
    <w:rsid w:val="00026B4A"/>
    <w:rsid w:val="00027A58"/>
    <w:rsid w:val="00027A74"/>
    <w:rsid w:val="00027FB1"/>
    <w:rsid w:val="00030B2A"/>
    <w:rsid w:val="00031307"/>
    <w:rsid w:val="000315EC"/>
    <w:rsid w:val="00031F45"/>
    <w:rsid w:val="00032D95"/>
    <w:rsid w:val="000334C2"/>
    <w:rsid w:val="000341FD"/>
    <w:rsid w:val="0003445F"/>
    <w:rsid w:val="00034675"/>
    <w:rsid w:val="00034C73"/>
    <w:rsid w:val="000354C8"/>
    <w:rsid w:val="00035989"/>
    <w:rsid w:val="0003646A"/>
    <w:rsid w:val="000369DC"/>
    <w:rsid w:val="0003722A"/>
    <w:rsid w:val="00037AED"/>
    <w:rsid w:val="0004019D"/>
    <w:rsid w:val="000423E9"/>
    <w:rsid w:val="00043961"/>
    <w:rsid w:val="00043CCE"/>
    <w:rsid w:val="00043FA5"/>
    <w:rsid w:val="00045807"/>
    <w:rsid w:val="000465E8"/>
    <w:rsid w:val="00046B42"/>
    <w:rsid w:val="00047061"/>
    <w:rsid w:val="00051D7B"/>
    <w:rsid w:val="00051DB1"/>
    <w:rsid w:val="00052B70"/>
    <w:rsid w:val="00052C68"/>
    <w:rsid w:val="000534F4"/>
    <w:rsid w:val="00054C41"/>
    <w:rsid w:val="00055F00"/>
    <w:rsid w:val="00056217"/>
    <w:rsid w:val="00056EE7"/>
    <w:rsid w:val="000573A2"/>
    <w:rsid w:val="00057E2C"/>
    <w:rsid w:val="0006112C"/>
    <w:rsid w:val="000621C6"/>
    <w:rsid w:val="000626DB"/>
    <w:rsid w:val="00063987"/>
    <w:rsid w:val="000642C7"/>
    <w:rsid w:val="00065102"/>
    <w:rsid w:val="00066DF8"/>
    <w:rsid w:val="00067072"/>
    <w:rsid w:val="00067714"/>
    <w:rsid w:val="00067BF9"/>
    <w:rsid w:val="00070F6E"/>
    <w:rsid w:val="000710EF"/>
    <w:rsid w:val="0007148F"/>
    <w:rsid w:val="0007151F"/>
    <w:rsid w:val="000715BB"/>
    <w:rsid w:val="00071A17"/>
    <w:rsid w:val="00071A27"/>
    <w:rsid w:val="00071D9B"/>
    <w:rsid w:val="00071E08"/>
    <w:rsid w:val="000723BB"/>
    <w:rsid w:val="00072925"/>
    <w:rsid w:val="00073327"/>
    <w:rsid w:val="00073D55"/>
    <w:rsid w:val="00073E14"/>
    <w:rsid w:val="00073F0B"/>
    <w:rsid w:val="000742D4"/>
    <w:rsid w:val="0007516A"/>
    <w:rsid w:val="00075F97"/>
    <w:rsid w:val="0007679F"/>
    <w:rsid w:val="0007697C"/>
    <w:rsid w:val="000775F5"/>
    <w:rsid w:val="000809D8"/>
    <w:rsid w:val="000812EE"/>
    <w:rsid w:val="00081B3B"/>
    <w:rsid w:val="000846A7"/>
    <w:rsid w:val="00084D04"/>
    <w:rsid w:val="00085338"/>
    <w:rsid w:val="00085DAC"/>
    <w:rsid w:val="00086513"/>
    <w:rsid w:val="000866C9"/>
    <w:rsid w:val="00087D37"/>
    <w:rsid w:val="00090012"/>
    <w:rsid w:val="00091601"/>
    <w:rsid w:val="000923DC"/>
    <w:rsid w:val="00092A83"/>
    <w:rsid w:val="00092E83"/>
    <w:rsid w:val="000933A6"/>
    <w:rsid w:val="000934FF"/>
    <w:rsid w:val="00093B0A"/>
    <w:rsid w:val="00094076"/>
    <w:rsid w:val="00094A9B"/>
    <w:rsid w:val="000960DB"/>
    <w:rsid w:val="0009628B"/>
    <w:rsid w:val="00096D89"/>
    <w:rsid w:val="00097269"/>
    <w:rsid w:val="000977B8"/>
    <w:rsid w:val="000A0940"/>
    <w:rsid w:val="000A0BE8"/>
    <w:rsid w:val="000A12DE"/>
    <w:rsid w:val="000A2044"/>
    <w:rsid w:val="000A22ED"/>
    <w:rsid w:val="000A2DC9"/>
    <w:rsid w:val="000A32C4"/>
    <w:rsid w:val="000A382E"/>
    <w:rsid w:val="000A452E"/>
    <w:rsid w:val="000A4B5A"/>
    <w:rsid w:val="000A4F76"/>
    <w:rsid w:val="000A62F3"/>
    <w:rsid w:val="000A657B"/>
    <w:rsid w:val="000A65A5"/>
    <w:rsid w:val="000A73DB"/>
    <w:rsid w:val="000A7540"/>
    <w:rsid w:val="000B109B"/>
    <w:rsid w:val="000B1D7D"/>
    <w:rsid w:val="000B1EC5"/>
    <w:rsid w:val="000B23C2"/>
    <w:rsid w:val="000B2E5D"/>
    <w:rsid w:val="000B315C"/>
    <w:rsid w:val="000B3633"/>
    <w:rsid w:val="000B3D17"/>
    <w:rsid w:val="000B4969"/>
    <w:rsid w:val="000B509B"/>
    <w:rsid w:val="000B541C"/>
    <w:rsid w:val="000B5780"/>
    <w:rsid w:val="000B59A5"/>
    <w:rsid w:val="000B5B64"/>
    <w:rsid w:val="000B61FA"/>
    <w:rsid w:val="000B6549"/>
    <w:rsid w:val="000B65F8"/>
    <w:rsid w:val="000C1C1D"/>
    <w:rsid w:val="000C30FB"/>
    <w:rsid w:val="000C3F39"/>
    <w:rsid w:val="000C5705"/>
    <w:rsid w:val="000C5879"/>
    <w:rsid w:val="000C608F"/>
    <w:rsid w:val="000C6505"/>
    <w:rsid w:val="000C6531"/>
    <w:rsid w:val="000C6CDB"/>
    <w:rsid w:val="000C70CB"/>
    <w:rsid w:val="000C731A"/>
    <w:rsid w:val="000C7F10"/>
    <w:rsid w:val="000D05A8"/>
    <w:rsid w:val="000D069A"/>
    <w:rsid w:val="000D06DF"/>
    <w:rsid w:val="000D1055"/>
    <w:rsid w:val="000D2CE0"/>
    <w:rsid w:val="000D2D84"/>
    <w:rsid w:val="000D363A"/>
    <w:rsid w:val="000D3DD5"/>
    <w:rsid w:val="000D4218"/>
    <w:rsid w:val="000D51B6"/>
    <w:rsid w:val="000D540C"/>
    <w:rsid w:val="000D5734"/>
    <w:rsid w:val="000D59C4"/>
    <w:rsid w:val="000D6778"/>
    <w:rsid w:val="000D69CA"/>
    <w:rsid w:val="000D787C"/>
    <w:rsid w:val="000D7C2C"/>
    <w:rsid w:val="000E09CE"/>
    <w:rsid w:val="000E0A73"/>
    <w:rsid w:val="000E1AEE"/>
    <w:rsid w:val="000E1DF2"/>
    <w:rsid w:val="000E272C"/>
    <w:rsid w:val="000E2DD4"/>
    <w:rsid w:val="000E345D"/>
    <w:rsid w:val="000E4619"/>
    <w:rsid w:val="000E5C28"/>
    <w:rsid w:val="000E69D4"/>
    <w:rsid w:val="000E6F4D"/>
    <w:rsid w:val="000E7104"/>
    <w:rsid w:val="000F0E9F"/>
    <w:rsid w:val="000F15F5"/>
    <w:rsid w:val="000F1852"/>
    <w:rsid w:val="000F1F9E"/>
    <w:rsid w:val="000F27CD"/>
    <w:rsid w:val="000F2C69"/>
    <w:rsid w:val="000F394E"/>
    <w:rsid w:val="000F40E4"/>
    <w:rsid w:val="000F5DE7"/>
    <w:rsid w:val="000F5E86"/>
    <w:rsid w:val="000F6233"/>
    <w:rsid w:val="000F678E"/>
    <w:rsid w:val="00100EFE"/>
    <w:rsid w:val="001012F9"/>
    <w:rsid w:val="00101526"/>
    <w:rsid w:val="00101C6C"/>
    <w:rsid w:val="00103C7D"/>
    <w:rsid w:val="00104BF2"/>
    <w:rsid w:val="00105353"/>
    <w:rsid w:val="00105BC1"/>
    <w:rsid w:val="00105F85"/>
    <w:rsid w:val="0010690D"/>
    <w:rsid w:val="001071F3"/>
    <w:rsid w:val="001074CF"/>
    <w:rsid w:val="00111070"/>
    <w:rsid w:val="0011135D"/>
    <w:rsid w:val="001113C6"/>
    <w:rsid w:val="00111573"/>
    <w:rsid w:val="001117D5"/>
    <w:rsid w:val="001126B4"/>
    <w:rsid w:val="0011273A"/>
    <w:rsid w:val="00112747"/>
    <w:rsid w:val="001130CC"/>
    <w:rsid w:val="00113724"/>
    <w:rsid w:val="001138E6"/>
    <w:rsid w:val="00113A0C"/>
    <w:rsid w:val="00113E04"/>
    <w:rsid w:val="00114D45"/>
    <w:rsid w:val="001156E6"/>
    <w:rsid w:val="00116215"/>
    <w:rsid w:val="0011627E"/>
    <w:rsid w:val="00117188"/>
    <w:rsid w:val="001173FA"/>
    <w:rsid w:val="001207AF"/>
    <w:rsid w:val="0012101F"/>
    <w:rsid w:val="001211DE"/>
    <w:rsid w:val="001217A7"/>
    <w:rsid w:val="00122D45"/>
    <w:rsid w:val="00123D1A"/>
    <w:rsid w:val="00123E66"/>
    <w:rsid w:val="00125B74"/>
    <w:rsid w:val="00126A39"/>
    <w:rsid w:val="00130260"/>
    <w:rsid w:val="001302EF"/>
    <w:rsid w:val="00131B03"/>
    <w:rsid w:val="00131B26"/>
    <w:rsid w:val="00131D82"/>
    <w:rsid w:val="00132F67"/>
    <w:rsid w:val="0013300E"/>
    <w:rsid w:val="0013312A"/>
    <w:rsid w:val="00133B44"/>
    <w:rsid w:val="001344D9"/>
    <w:rsid w:val="00134DC7"/>
    <w:rsid w:val="00135BF9"/>
    <w:rsid w:val="001366A9"/>
    <w:rsid w:val="001372ED"/>
    <w:rsid w:val="001403C3"/>
    <w:rsid w:val="001404A8"/>
    <w:rsid w:val="00141A33"/>
    <w:rsid w:val="00143C53"/>
    <w:rsid w:val="00144456"/>
    <w:rsid w:val="001446C1"/>
    <w:rsid w:val="00144978"/>
    <w:rsid w:val="00144F99"/>
    <w:rsid w:val="0014529D"/>
    <w:rsid w:val="001452B0"/>
    <w:rsid w:val="00145870"/>
    <w:rsid w:val="001478C1"/>
    <w:rsid w:val="00151DA4"/>
    <w:rsid w:val="00152A9E"/>
    <w:rsid w:val="00153023"/>
    <w:rsid w:val="00153519"/>
    <w:rsid w:val="001535D1"/>
    <w:rsid w:val="001537DE"/>
    <w:rsid w:val="00154A42"/>
    <w:rsid w:val="001552AD"/>
    <w:rsid w:val="001552DD"/>
    <w:rsid w:val="00156116"/>
    <w:rsid w:val="0015646A"/>
    <w:rsid w:val="00156910"/>
    <w:rsid w:val="0015695F"/>
    <w:rsid w:val="00156C57"/>
    <w:rsid w:val="001600F8"/>
    <w:rsid w:val="00160C5D"/>
    <w:rsid w:val="00161357"/>
    <w:rsid w:val="001615F8"/>
    <w:rsid w:val="00162260"/>
    <w:rsid w:val="00162275"/>
    <w:rsid w:val="00162802"/>
    <w:rsid w:val="00162AFD"/>
    <w:rsid w:val="0016376A"/>
    <w:rsid w:val="00164643"/>
    <w:rsid w:val="00165090"/>
    <w:rsid w:val="00165F39"/>
    <w:rsid w:val="001665B7"/>
    <w:rsid w:val="00166817"/>
    <w:rsid w:val="00167108"/>
    <w:rsid w:val="00167719"/>
    <w:rsid w:val="001679DF"/>
    <w:rsid w:val="00167E84"/>
    <w:rsid w:val="00171B03"/>
    <w:rsid w:val="00172077"/>
    <w:rsid w:val="00173115"/>
    <w:rsid w:val="001735B9"/>
    <w:rsid w:val="00173945"/>
    <w:rsid w:val="00173F86"/>
    <w:rsid w:val="0017444A"/>
    <w:rsid w:val="00174DDD"/>
    <w:rsid w:val="00175695"/>
    <w:rsid w:val="00176776"/>
    <w:rsid w:val="00176BC6"/>
    <w:rsid w:val="00177866"/>
    <w:rsid w:val="00180728"/>
    <w:rsid w:val="00180822"/>
    <w:rsid w:val="00181084"/>
    <w:rsid w:val="001814CF"/>
    <w:rsid w:val="00182D70"/>
    <w:rsid w:val="00183077"/>
    <w:rsid w:val="0018315F"/>
    <w:rsid w:val="0018394B"/>
    <w:rsid w:val="001871F2"/>
    <w:rsid w:val="001900F3"/>
    <w:rsid w:val="00190293"/>
    <w:rsid w:val="00191FCA"/>
    <w:rsid w:val="001925E2"/>
    <w:rsid w:val="0019490A"/>
    <w:rsid w:val="00194937"/>
    <w:rsid w:val="001958E3"/>
    <w:rsid w:val="00195C15"/>
    <w:rsid w:val="00196014"/>
    <w:rsid w:val="00196A73"/>
    <w:rsid w:val="00196B3F"/>
    <w:rsid w:val="001977A9"/>
    <w:rsid w:val="00197A16"/>
    <w:rsid w:val="00197C23"/>
    <w:rsid w:val="00197F6D"/>
    <w:rsid w:val="001A100D"/>
    <w:rsid w:val="001A1B00"/>
    <w:rsid w:val="001A1B3E"/>
    <w:rsid w:val="001A1C50"/>
    <w:rsid w:val="001A213D"/>
    <w:rsid w:val="001A24C0"/>
    <w:rsid w:val="001A2597"/>
    <w:rsid w:val="001A2698"/>
    <w:rsid w:val="001A2B24"/>
    <w:rsid w:val="001A3F58"/>
    <w:rsid w:val="001A49D3"/>
    <w:rsid w:val="001A5919"/>
    <w:rsid w:val="001A5CF3"/>
    <w:rsid w:val="001A6675"/>
    <w:rsid w:val="001A6A7D"/>
    <w:rsid w:val="001A7EE4"/>
    <w:rsid w:val="001B00ED"/>
    <w:rsid w:val="001B04F0"/>
    <w:rsid w:val="001B0896"/>
    <w:rsid w:val="001B1022"/>
    <w:rsid w:val="001B21B8"/>
    <w:rsid w:val="001B2DFC"/>
    <w:rsid w:val="001B4742"/>
    <w:rsid w:val="001B4A90"/>
    <w:rsid w:val="001B5551"/>
    <w:rsid w:val="001B6807"/>
    <w:rsid w:val="001B6E93"/>
    <w:rsid w:val="001B6F94"/>
    <w:rsid w:val="001B751D"/>
    <w:rsid w:val="001B78CF"/>
    <w:rsid w:val="001B7F00"/>
    <w:rsid w:val="001C0EC8"/>
    <w:rsid w:val="001C1564"/>
    <w:rsid w:val="001C16DD"/>
    <w:rsid w:val="001C1C13"/>
    <w:rsid w:val="001C2BCA"/>
    <w:rsid w:val="001C34F9"/>
    <w:rsid w:val="001C3524"/>
    <w:rsid w:val="001C5157"/>
    <w:rsid w:val="001C5305"/>
    <w:rsid w:val="001C5F1C"/>
    <w:rsid w:val="001C616D"/>
    <w:rsid w:val="001C6899"/>
    <w:rsid w:val="001C7315"/>
    <w:rsid w:val="001D030B"/>
    <w:rsid w:val="001D0924"/>
    <w:rsid w:val="001D0DBE"/>
    <w:rsid w:val="001D2068"/>
    <w:rsid w:val="001D214C"/>
    <w:rsid w:val="001D3079"/>
    <w:rsid w:val="001D320D"/>
    <w:rsid w:val="001D37A9"/>
    <w:rsid w:val="001D5DB2"/>
    <w:rsid w:val="001D79AA"/>
    <w:rsid w:val="001D7EE5"/>
    <w:rsid w:val="001E00B5"/>
    <w:rsid w:val="001E1A7C"/>
    <w:rsid w:val="001E27A6"/>
    <w:rsid w:val="001E31F2"/>
    <w:rsid w:val="001E372E"/>
    <w:rsid w:val="001E5288"/>
    <w:rsid w:val="001E57EB"/>
    <w:rsid w:val="001E6E9D"/>
    <w:rsid w:val="001F16FA"/>
    <w:rsid w:val="001F1D87"/>
    <w:rsid w:val="001F21AD"/>
    <w:rsid w:val="001F2F08"/>
    <w:rsid w:val="001F54BF"/>
    <w:rsid w:val="001F673A"/>
    <w:rsid w:val="001F685D"/>
    <w:rsid w:val="001F6A50"/>
    <w:rsid w:val="001F6EAD"/>
    <w:rsid w:val="001F6F7F"/>
    <w:rsid w:val="001F7621"/>
    <w:rsid w:val="001F77DD"/>
    <w:rsid w:val="001F7B02"/>
    <w:rsid w:val="00200972"/>
    <w:rsid w:val="00200AE0"/>
    <w:rsid w:val="002027F4"/>
    <w:rsid w:val="00202893"/>
    <w:rsid w:val="00202D1C"/>
    <w:rsid w:val="00202D82"/>
    <w:rsid w:val="00203324"/>
    <w:rsid w:val="00204231"/>
    <w:rsid w:val="00205D67"/>
    <w:rsid w:val="00205FD3"/>
    <w:rsid w:val="00206459"/>
    <w:rsid w:val="002065CC"/>
    <w:rsid w:val="00206E7B"/>
    <w:rsid w:val="00207029"/>
    <w:rsid w:val="0020739A"/>
    <w:rsid w:val="0020776D"/>
    <w:rsid w:val="00207963"/>
    <w:rsid w:val="00210E22"/>
    <w:rsid w:val="002111B4"/>
    <w:rsid w:val="00211646"/>
    <w:rsid w:val="00211719"/>
    <w:rsid w:val="0021205B"/>
    <w:rsid w:val="00213B61"/>
    <w:rsid w:val="00213E9B"/>
    <w:rsid w:val="00215F61"/>
    <w:rsid w:val="00217FAE"/>
    <w:rsid w:val="00220DE4"/>
    <w:rsid w:val="00221038"/>
    <w:rsid w:val="00221586"/>
    <w:rsid w:val="00222065"/>
    <w:rsid w:val="00222C7D"/>
    <w:rsid w:val="00222D7D"/>
    <w:rsid w:val="00223189"/>
    <w:rsid w:val="00224458"/>
    <w:rsid w:val="0022584F"/>
    <w:rsid w:val="00225AA4"/>
    <w:rsid w:val="00225E45"/>
    <w:rsid w:val="002264A1"/>
    <w:rsid w:val="00226723"/>
    <w:rsid w:val="0022677C"/>
    <w:rsid w:val="002267B4"/>
    <w:rsid w:val="0022681C"/>
    <w:rsid w:val="002272CC"/>
    <w:rsid w:val="0022733B"/>
    <w:rsid w:val="00227C64"/>
    <w:rsid w:val="00230324"/>
    <w:rsid w:val="0023040D"/>
    <w:rsid w:val="00230AD0"/>
    <w:rsid w:val="00232F87"/>
    <w:rsid w:val="00233222"/>
    <w:rsid w:val="00233359"/>
    <w:rsid w:val="0023551F"/>
    <w:rsid w:val="002359B6"/>
    <w:rsid w:val="00235E0C"/>
    <w:rsid w:val="00237521"/>
    <w:rsid w:val="00237DE6"/>
    <w:rsid w:val="0024259F"/>
    <w:rsid w:val="0024286B"/>
    <w:rsid w:val="00242D19"/>
    <w:rsid w:val="002434EC"/>
    <w:rsid w:val="00244183"/>
    <w:rsid w:val="0024571A"/>
    <w:rsid w:val="00246587"/>
    <w:rsid w:val="00246B16"/>
    <w:rsid w:val="00251965"/>
    <w:rsid w:val="00251B18"/>
    <w:rsid w:val="0025205D"/>
    <w:rsid w:val="00252558"/>
    <w:rsid w:val="00252FCB"/>
    <w:rsid w:val="0025303A"/>
    <w:rsid w:val="002570DC"/>
    <w:rsid w:val="002573D8"/>
    <w:rsid w:val="00257A95"/>
    <w:rsid w:val="00257E60"/>
    <w:rsid w:val="002600D9"/>
    <w:rsid w:val="00260A8B"/>
    <w:rsid w:val="002616A5"/>
    <w:rsid w:val="0026175F"/>
    <w:rsid w:val="002618A5"/>
    <w:rsid w:val="00261AFE"/>
    <w:rsid w:val="00262111"/>
    <w:rsid w:val="002626E7"/>
    <w:rsid w:val="002629D2"/>
    <w:rsid w:val="00262D5F"/>
    <w:rsid w:val="0026335D"/>
    <w:rsid w:val="00263784"/>
    <w:rsid w:val="00263DFC"/>
    <w:rsid w:val="0026468E"/>
    <w:rsid w:val="00264C1E"/>
    <w:rsid w:val="00264D32"/>
    <w:rsid w:val="00264FF2"/>
    <w:rsid w:val="00265D93"/>
    <w:rsid w:val="002663EF"/>
    <w:rsid w:val="002667A6"/>
    <w:rsid w:val="00266FDD"/>
    <w:rsid w:val="0026750F"/>
    <w:rsid w:val="002700BE"/>
    <w:rsid w:val="00270220"/>
    <w:rsid w:val="0027055B"/>
    <w:rsid w:val="002705C7"/>
    <w:rsid w:val="00270837"/>
    <w:rsid w:val="00270F7C"/>
    <w:rsid w:val="00271240"/>
    <w:rsid w:val="00271C32"/>
    <w:rsid w:val="00272789"/>
    <w:rsid w:val="00272FCF"/>
    <w:rsid w:val="00273524"/>
    <w:rsid w:val="00274DDB"/>
    <w:rsid w:val="00274E0E"/>
    <w:rsid w:val="00275045"/>
    <w:rsid w:val="00276228"/>
    <w:rsid w:val="00276DF7"/>
    <w:rsid w:val="002770F1"/>
    <w:rsid w:val="00280681"/>
    <w:rsid w:val="00280997"/>
    <w:rsid w:val="00281050"/>
    <w:rsid w:val="0028120E"/>
    <w:rsid w:val="00281BE7"/>
    <w:rsid w:val="00281D27"/>
    <w:rsid w:val="00282B11"/>
    <w:rsid w:val="00283654"/>
    <w:rsid w:val="002847E4"/>
    <w:rsid w:val="00284B2D"/>
    <w:rsid w:val="002860F9"/>
    <w:rsid w:val="0028667A"/>
    <w:rsid w:val="002870D0"/>
    <w:rsid w:val="00287231"/>
    <w:rsid w:val="002873A9"/>
    <w:rsid w:val="00287927"/>
    <w:rsid w:val="00290058"/>
    <w:rsid w:val="002907C8"/>
    <w:rsid w:val="002910DF"/>
    <w:rsid w:val="002918B5"/>
    <w:rsid w:val="002924BD"/>
    <w:rsid w:val="00292EC9"/>
    <w:rsid w:val="00293A82"/>
    <w:rsid w:val="00293BBA"/>
    <w:rsid w:val="00294594"/>
    <w:rsid w:val="00294F57"/>
    <w:rsid w:val="002950D1"/>
    <w:rsid w:val="0029510D"/>
    <w:rsid w:val="0029563A"/>
    <w:rsid w:val="0029588B"/>
    <w:rsid w:val="00296434"/>
    <w:rsid w:val="00296C1F"/>
    <w:rsid w:val="002973A7"/>
    <w:rsid w:val="002A0049"/>
    <w:rsid w:val="002A0B3E"/>
    <w:rsid w:val="002A14AE"/>
    <w:rsid w:val="002A1A99"/>
    <w:rsid w:val="002A21F0"/>
    <w:rsid w:val="002A29A1"/>
    <w:rsid w:val="002A2CBF"/>
    <w:rsid w:val="002A45A2"/>
    <w:rsid w:val="002A4878"/>
    <w:rsid w:val="002A4F72"/>
    <w:rsid w:val="002A693B"/>
    <w:rsid w:val="002A6C87"/>
    <w:rsid w:val="002A746D"/>
    <w:rsid w:val="002A7F92"/>
    <w:rsid w:val="002B0835"/>
    <w:rsid w:val="002B0FFD"/>
    <w:rsid w:val="002B24EE"/>
    <w:rsid w:val="002B28CE"/>
    <w:rsid w:val="002B3C47"/>
    <w:rsid w:val="002B454A"/>
    <w:rsid w:val="002B481A"/>
    <w:rsid w:val="002B4984"/>
    <w:rsid w:val="002B4A75"/>
    <w:rsid w:val="002B6283"/>
    <w:rsid w:val="002B6969"/>
    <w:rsid w:val="002B74AB"/>
    <w:rsid w:val="002B77E1"/>
    <w:rsid w:val="002C02DB"/>
    <w:rsid w:val="002C0AC0"/>
    <w:rsid w:val="002C0DBF"/>
    <w:rsid w:val="002C132A"/>
    <w:rsid w:val="002C141E"/>
    <w:rsid w:val="002C196D"/>
    <w:rsid w:val="002C31FA"/>
    <w:rsid w:val="002C3824"/>
    <w:rsid w:val="002C3959"/>
    <w:rsid w:val="002C46AD"/>
    <w:rsid w:val="002C524F"/>
    <w:rsid w:val="002C6CAF"/>
    <w:rsid w:val="002C728A"/>
    <w:rsid w:val="002C7D8F"/>
    <w:rsid w:val="002D0192"/>
    <w:rsid w:val="002D0705"/>
    <w:rsid w:val="002D0BCE"/>
    <w:rsid w:val="002D0C5E"/>
    <w:rsid w:val="002D15C2"/>
    <w:rsid w:val="002D15CE"/>
    <w:rsid w:val="002D172B"/>
    <w:rsid w:val="002D1964"/>
    <w:rsid w:val="002D198B"/>
    <w:rsid w:val="002D1D42"/>
    <w:rsid w:val="002D1FDD"/>
    <w:rsid w:val="002D211D"/>
    <w:rsid w:val="002D212F"/>
    <w:rsid w:val="002D2639"/>
    <w:rsid w:val="002D3C41"/>
    <w:rsid w:val="002D47B8"/>
    <w:rsid w:val="002D49E9"/>
    <w:rsid w:val="002D4CE6"/>
    <w:rsid w:val="002D5276"/>
    <w:rsid w:val="002D5856"/>
    <w:rsid w:val="002D5F6C"/>
    <w:rsid w:val="002D6233"/>
    <w:rsid w:val="002D769C"/>
    <w:rsid w:val="002E0811"/>
    <w:rsid w:val="002E096B"/>
    <w:rsid w:val="002E0FE7"/>
    <w:rsid w:val="002E17F1"/>
    <w:rsid w:val="002E229B"/>
    <w:rsid w:val="002E2A71"/>
    <w:rsid w:val="002E3040"/>
    <w:rsid w:val="002E3047"/>
    <w:rsid w:val="002E367E"/>
    <w:rsid w:val="002E4109"/>
    <w:rsid w:val="002E42F6"/>
    <w:rsid w:val="002E4346"/>
    <w:rsid w:val="002E4564"/>
    <w:rsid w:val="002E5868"/>
    <w:rsid w:val="002E6325"/>
    <w:rsid w:val="002E73B4"/>
    <w:rsid w:val="002E78E3"/>
    <w:rsid w:val="002F03AF"/>
    <w:rsid w:val="002F0E47"/>
    <w:rsid w:val="002F0F29"/>
    <w:rsid w:val="002F1F87"/>
    <w:rsid w:val="002F25AA"/>
    <w:rsid w:val="002F2E41"/>
    <w:rsid w:val="002F2EC9"/>
    <w:rsid w:val="002F3700"/>
    <w:rsid w:val="002F45A4"/>
    <w:rsid w:val="002F610F"/>
    <w:rsid w:val="002F65C2"/>
    <w:rsid w:val="002F6C27"/>
    <w:rsid w:val="002F6FD8"/>
    <w:rsid w:val="002F7CF1"/>
    <w:rsid w:val="002F7D6A"/>
    <w:rsid w:val="00300794"/>
    <w:rsid w:val="0030123F"/>
    <w:rsid w:val="00301513"/>
    <w:rsid w:val="00301553"/>
    <w:rsid w:val="00301909"/>
    <w:rsid w:val="00301C0A"/>
    <w:rsid w:val="003021BC"/>
    <w:rsid w:val="00302444"/>
    <w:rsid w:val="003024FF"/>
    <w:rsid w:val="0030274B"/>
    <w:rsid w:val="00302B51"/>
    <w:rsid w:val="00303090"/>
    <w:rsid w:val="003036F6"/>
    <w:rsid w:val="00303C46"/>
    <w:rsid w:val="0030514F"/>
    <w:rsid w:val="003053DE"/>
    <w:rsid w:val="00305926"/>
    <w:rsid w:val="00305AD1"/>
    <w:rsid w:val="00306BA3"/>
    <w:rsid w:val="00307C5B"/>
    <w:rsid w:val="0031046E"/>
    <w:rsid w:val="00310C91"/>
    <w:rsid w:val="003115ED"/>
    <w:rsid w:val="00311FB4"/>
    <w:rsid w:val="0031223F"/>
    <w:rsid w:val="00313086"/>
    <w:rsid w:val="00313522"/>
    <w:rsid w:val="00313528"/>
    <w:rsid w:val="00313DB4"/>
    <w:rsid w:val="003140D6"/>
    <w:rsid w:val="0031423C"/>
    <w:rsid w:val="00314892"/>
    <w:rsid w:val="00314AB6"/>
    <w:rsid w:val="00315851"/>
    <w:rsid w:val="00315939"/>
    <w:rsid w:val="003160C1"/>
    <w:rsid w:val="0031700A"/>
    <w:rsid w:val="00317658"/>
    <w:rsid w:val="0032085E"/>
    <w:rsid w:val="0032183D"/>
    <w:rsid w:val="0032248A"/>
    <w:rsid w:val="00323634"/>
    <w:rsid w:val="00323DD5"/>
    <w:rsid w:val="00324277"/>
    <w:rsid w:val="00324CB5"/>
    <w:rsid w:val="003250C6"/>
    <w:rsid w:val="003251D0"/>
    <w:rsid w:val="003256AD"/>
    <w:rsid w:val="00325952"/>
    <w:rsid w:val="003267AE"/>
    <w:rsid w:val="00327463"/>
    <w:rsid w:val="003304FC"/>
    <w:rsid w:val="00330B06"/>
    <w:rsid w:val="003311E0"/>
    <w:rsid w:val="00332BF9"/>
    <w:rsid w:val="00332DA7"/>
    <w:rsid w:val="0033377C"/>
    <w:rsid w:val="00333EB6"/>
    <w:rsid w:val="003352D7"/>
    <w:rsid w:val="003363AB"/>
    <w:rsid w:val="0033707E"/>
    <w:rsid w:val="00337970"/>
    <w:rsid w:val="00337E5D"/>
    <w:rsid w:val="00340D99"/>
    <w:rsid w:val="003412E1"/>
    <w:rsid w:val="003415F0"/>
    <w:rsid w:val="00341B46"/>
    <w:rsid w:val="0034283C"/>
    <w:rsid w:val="0034300E"/>
    <w:rsid w:val="003430E6"/>
    <w:rsid w:val="003434FE"/>
    <w:rsid w:val="00343D93"/>
    <w:rsid w:val="00344F26"/>
    <w:rsid w:val="00346F4E"/>
    <w:rsid w:val="003501FA"/>
    <w:rsid w:val="00350950"/>
    <w:rsid w:val="00350B7D"/>
    <w:rsid w:val="003521EB"/>
    <w:rsid w:val="003536F0"/>
    <w:rsid w:val="00353F9A"/>
    <w:rsid w:val="00354C1A"/>
    <w:rsid w:val="003555DB"/>
    <w:rsid w:val="003557E7"/>
    <w:rsid w:val="003559E4"/>
    <w:rsid w:val="00355ED9"/>
    <w:rsid w:val="00356FAC"/>
    <w:rsid w:val="00357257"/>
    <w:rsid w:val="00357ABF"/>
    <w:rsid w:val="00357AC6"/>
    <w:rsid w:val="00357E99"/>
    <w:rsid w:val="00357F39"/>
    <w:rsid w:val="003604F3"/>
    <w:rsid w:val="003605FE"/>
    <w:rsid w:val="003611D2"/>
    <w:rsid w:val="00361C82"/>
    <w:rsid w:val="00362D6F"/>
    <w:rsid w:val="003635F3"/>
    <w:rsid w:val="003637D0"/>
    <w:rsid w:val="00363873"/>
    <w:rsid w:val="00363D47"/>
    <w:rsid w:val="00364556"/>
    <w:rsid w:val="003664FA"/>
    <w:rsid w:val="00370EE0"/>
    <w:rsid w:val="00371D60"/>
    <w:rsid w:val="003723A3"/>
    <w:rsid w:val="003725E8"/>
    <w:rsid w:val="003728B0"/>
    <w:rsid w:val="00373CA6"/>
    <w:rsid w:val="00373DB9"/>
    <w:rsid w:val="00373E36"/>
    <w:rsid w:val="003742A1"/>
    <w:rsid w:val="003744A1"/>
    <w:rsid w:val="003744C4"/>
    <w:rsid w:val="003754BF"/>
    <w:rsid w:val="00375629"/>
    <w:rsid w:val="00375A18"/>
    <w:rsid w:val="00375E5D"/>
    <w:rsid w:val="00376454"/>
    <w:rsid w:val="00376759"/>
    <w:rsid w:val="00376B17"/>
    <w:rsid w:val="00377C51"/>
    <w:rsid w:val="00380F58"/>
    <w:rsid w:val="0038251A"/>
    <w:rsid w:val="00382A9A"/>
    <w:rsid w:val="00382F76"/>
    <w:rsid w:val="00383163"/>
    <w:rsid w:val="003835BE"/>
    <w:rsid w:val="00383B4C"/>
    <w:rsid w:val="00383F93"/>
    <w:rsid w:val="003847F7"/>
    <w:rsid w:val="00384ADE"/>
    <w:rsid w:val="00385533"/>
    <w:rsid w:val="00385E70"/>
    <w:rsid w:val="00386185"/>
    <w:rsid w:val="003865CA"/>
    <w:rsid w:val="00386AD8"/>
    <w:rsid w:val="00386DB1"/>
    <w:rsid w:val="00387A38"/>
    <w:rsid w:val="00391048"/>
    <w:rsid w:val="00392853"/>
    <w:rsid w:val="00393ED9"/>
    <w:rsid w:val="003942EE"/>
    <w:rsid w:val="00394651"/>
    <w:rsid w:val="003946E9"/>
    <w:rsid w:val="0039496E"/>
    <w:rsid w:val="003952AD"/>
    <w:rsid w:val="00395BE6"/>
    <w:rsid w:val="003965B8"/>
    <w:rsid w:val="003971AD"/>
    <w:rsid w:val="003A021A"/>
    <w:rsid w:val="003A072C"/>
    <w:rsid w:val="003A08FD"/>
    <w:rsid w:val="003A1688"/>
    <w:rsid w:val="003A1D36"/>
    <w:rsid w:val="003A204A"/>
    <w:rsid w:val="003A27A4"/>
    <w:rsid w:val="003A4042"/>
    <w:rsid w:val="003A51CB"/>
    <w:rsid w:val="003A7D8C"/>
    <w:rsid w:val="003B0EB9"/>
    <w:rsid w:val="003B11A9"/>
    <w:rsid w:val="003B2C05"/>
    <w:rsid w:val="003B32C1"/>
    <w:rsid w:val="003B33A3"/>
    <w:rsid w:val="003B3C70"/>
    <w:rsid w:val="003B3D8F"/>
    <w:rsid w:val="003B4997"/>
    <w:rsid w:val="003B545D"/>
    <w:rsid w:val="003B5481"/>
    <w:rsid w:val="003B5A7B"/>
    <w:rsid w:val="003B5BF5"/>
    <w:rsid w:val="003B6E56"/>
    <w:rsid w:val="003B75BF"/>
    <w:rsid w:val="003C17BB"/>
    <w:rsid w:val="003C1C37"/>
    <w:rsid w:val="003C24D8"/>
    <w:rsid w:val="003C2BD0"/>
    <w:rsid w:val="003C313B"/>
    <w:rsid w:val="003C5083"/>
    <w:rsid w:val="003C5A84"/>
    <w:rsid w:val="003C5DEF"/>
    <w:rsid w:val="003C6247"/>
    <w:rsid w:val="003C629D"/>
    <w:rsid w:val="003C62E4"/>
    <w:rsid w:val="003C7126"/>
    <w:rsid w:val="003C71E4"/>
    <w:rsid w:val="003C7327"/>
    <w:rsid w:val="003C73AD"/>
    <w:rsid w:val="003C7687"/>
    <w:rsid w:val="003C76BD"/>
    <w:rsid w:val="003C78FD"/>
    <w:rsid w:val="003C7A3E"/>
    <w:rsid w:val="003C7F69"/>
    <w:rsid w:val="003D0136"/>
    <w:rsid w:val="003D0185"/>
    <w:rsid w:val="003D089D"/>
    <w:rsid w:val="003D0C84"/>
    <w:rsid w:val="003D11C9"/>
    <w:rsid w:val="003D198C"/>
    <w:rsid w:val="003D19DC"/>
    <w:rsid w:val="003D1EC6"/>
    <w:rsid w:val="003D3563"/>
    <w:rsid w:val="003D37AE"/>
    <w:rsid w:val="003D3EDF"/>
    <w:rsid w:val="003D4D62"/>
    <w:rsid w:val="003D4EB2"/>
    <w:rsid w:val="003D50D2"/>
    <w:rsid w:val="003D63B3"/>
    <w:rsid w:val="003D6529"/>
    <w:rsid w:val="003D6637"/>
    <w:rsid w:val="003D6F61"/>
    <w:rsid w:val="003D7362"/>
    <w:rsid w:val="003E090E"/>
    <w:rsid w:val="003E1016"/>
    <w:rsid w:val="003E1416"/>
    <w:rsid w:val="003E3526"/>
    <w:rsid w:val="003E3672"/>
    <w:rsid w:val="003E36F6"/>
    <w:rsid w:val="003E49F0"/>
    <w:rsid w:val="003E5AF2"/>
    <w:rsid w:val="003E5B57"/>
    <w:rsid w:val="003E5F03"/>
    <w:rsid w:val="003E616E"/>
    <w:rsid w:val="003E62C8"/>
    <w:rsid w:val="003E6AE5"/>
    <w:rsid w:val="003E740B"/>
    <w:rsid w:val="003E7901"/>
    <w:rsid w:val="003F0294"/>
    <w:rsid w:val="003F03D7"/>
    <w:rsid w:val="003F10DF"/>
    <w:rsid w:val="003F1434"/>
    <w:rsid w:val="003F1DD0"/>
    <w:rsid w:val="003F3B0E"/>
    <w:rsid w:val="003F4EE3"/>
    <w:rsid w:val="003F54F9"/>
    <w:rsid w:val="003F60DB"/>
    <w:rsid w:val="003F62DD"/>
    <w:rsid w:val="003F6D22"/>
    <w:rsid w:val="003F7204"/>
    <w:rsid w:val="0040046E"/>
    <w:rsid w:val="00400A2F"/>
    <w:rsid w:val="00402B65"/>
    <w:rsid w:val="00402B6A"/>
    <w:rsid w:val="00402C51"/>
    <w:rsid w:val="00402EB4"/>
    <w:rsid w:val="00403079"/>
    <w:rsid w:val="00403253"/>
    <w:rsid w:val="00403AED"/>
    <w:rsid w:val="00403DA6"/>
    <w:rsid w:val="00404BB3"/>
    <w:rsid w:val="00404DEC"/>
    <w:rsid w:val="00405043"/>
    <w:rsid w:val="00405201"/>
    <w:rsid w:val="004052EA"/>
    <w:rsid w:val="00405B88"/>
    <w:rsid w:val="0040645A"/>
    <w:rsid w:val="004067E6"/>
    <w:rsid w:val="00406856"/>
    <w:rsid w:val="00407BD5"/>
    <w:rsid w:val="00407E71"/>
    <w:rsid w:val="00410120"/>
    <w:rsid w:val="00410953"/>
    <w:rsid w:val="00411281"/>
    <w:rsid w:val="00412650"/>
    <w:rsid w:val="00412A3E"/>
    <w:rsid w:val="00412EDA"/>
    <w:rsid w:val="00413FC2"/>
    <w:rsid w:val="0041441B"/>
    <w:rsid w:val="00415129"/>
    <w:rsid w:val="00415390"/>
    <w:rsid w:val="0041541E"/>
    <w:rsid w:val="00415520"/>
    <w:rsid w:val="00415FE3"/>
    <w:rsid w:val="004161AD"/>
    <w:rsid w:val="00417578"/>
    <w:rsid w:val="004179C6"/>
    <w:rsid w:val="00417E25"/>
    <w:rsid w:val="00420E14"/>
    <w:rsid w:val="00421150"/>
    <w:rsid w:val="00422358"/>
    <w:rsid w:val="00422705"/>
    <w:rsid w:val="00422C23"/>
    <w:rsid w:val="00423859"/>
    <w:rsid w:val="00424314"/>
    <w:rsid w:val="00425549"/>
    <w:rsid w:val="00425B1A"/>
    <w:rsid w:val="00425E7C"/>
    <w:rsid w:val="00426E86"/>
    <w:rsid w:val="00426EFF"/>
    <w:rsid w:val="004274ED"/>
    <w:rsid w:val="0042775F"/>
    <w:rsid w:val="00427D45"/>
    <w:rsid w:val="0043012A"/>
    <w:rsid w:val="004302BF"/>
    <w:rsid w:val="004316EF"/>
    <w:rsid w:val="00431ACF"/>
    <w:rsid w:val="004330F3"/>
    <w:rsid w:val="00433A4B"/>
    <w:rsid w:val="00433D0B"/>
    <w:rsid w:val="0043450F"/>
    <w:rsid w:val="004355C4"/>
    <w:rsid w:val="00435E30"/>
    <w:rsid w:val="00435F95"/>
    <w:rsid w:val="00436F07"/>
    <w:rsid w:val="00437CD5"/>
    <w:rsid w:val="0044024E"/>
    <w:rsid w:val="00440508"/>
    <w:rsid w:val="004407A9"/>
    <w:rsid w:val="00440B3C"/>
    <w:rsid w:val="00440B8B"/>
    <w:rsid w:val="00441B06"/>
    <w:rsid w:val="00442769"/>
    <w:rsid w:val="00442C4E"/>
    <w:rsid w:val="00443019"/>
    <w:rsid w:val="0044346B"/>
    <w:rsid w:val="00444070"/>
    <w:rsid w:val="004443B0"/>
    <w:rsid w:val="004443DD"/>
    <w:rsid w:val="0044633A"/>
    <w:rsid w:val="0044740B"/>
    <w:rsid w:val="004478B3"/>
    <w:rsid w:val="00447961"/>
    <w:rsid w:val="00447BBA"/>
    <w:rsid w:val="00450148"/>
    <w:rsid w:val="004503F8"/>
    <w:rsid w:val="00451FC4"/>
    <w:rsid w:val="00453838"/>
    <w:rsid w:val="00453BF8"/>
    <w:rsid w:val="00453E6E"/>
    <w:rsid w:val="004545DB"/>
    <w:rsid w:val="00454C5D"/>
    <w:rsid w:val="004550A8"/>
    <w:rsid w:val="0045559F"/>
    <w:rsid w:val="00456032"/>
    <w:rsid w:val="00456389"/>
    <w:rsid w:val="00456550"/>
    <w:rsid w:val="00456FF7"/>
    <w:rsid w:val="004572E1"/>
    <w:rsid w:val="00457DAD"/>
    <w:rsid w:val="004606DA"/>
    <w:rsid w:val="00461AD4"/>
    <w:rsid w:val="00463105"/>
    <w:rsid w:val="00463FDF"/>
    <w:rsid w:val="00465090"/>
    <w:rsid w:val="004650D4"/>
    <w:rsid w:val="00465293"/>
    <w:rsid w:val="00465378"/>
    <w:rsid w:val="00466062"/>
    <w:rsid w:val="004669DF"/>
    <w:rsid w:val="00466A9E"/>
    <w:rsid w:val="00466B36"/>
    <w:rsid w:val="0046726A"/>
    <w:rsid w:val="004674F9"/>
    <w:rsid w:val="00467E07"/>
    <w:rsid w:val="00467E92"/>
    <w:rsid w:val="00470B0E"/>
    <w:rsid w:val="00470C77"/>
    <w:rsid w:val="00470EA4"/>
    <w:rsid w:val="00471274"/>
    <w:rsid w:val="00472147"/>
    <w:rsid w:val="004723BD"/>
    <w:rsid w:val="00473579"/>
    <w:rsid w:val="00473845"/>
    <w:rsid w:val="004758A8"/>
    <w:rsid w:val="00475C04"/>
    <w:rsid w:val="00480533"/>
    <w:rsid w:val="004839C9"/>
    <w:rsid w:val="00483D9B"/>
    <w:rsid w:val="0048447A"/>
    <w:rsid w:val="00485243"/>
    <w:rsid w:val="0048524A"/>
    <w:rsid w:val="004852FB"/>
    <w:rsid w:val="00486404"/>
    <w:rsid w:val="0048654D"/>
    <w:rsid w:val="00487271"/>
    <w:rsid w:val="00487B13"/>
    <w:rsid w:val="00490348"/>
    <w:rsid w:val="0049046F"/>
    <w:rsid w:val="004933B9"/>
    <w:rsid w:val="004937A5"/>
    <w:rsid w:val="00493E62"/>
    <w:rsid w:val="00493E92"/>
    <w:rsid w:val="004941E8"/>
    <w:rsid w:val="00494265"/>
    <w:rsid w:val="0049434D"/>
    <w:rsid w:val="004943BB"/>
    <w:rsid w:val="004976DD"/>
    <w:rsid w:val="00497A74"/>
    <w:rsid w:val="004A0159"/>
    <w:rsid w:val="004A046E"/>
    <w:rsid w:val="004A1058"/>
    <w:rsid w:val="004A10E9"/>
    <w:rsid w:val="004A1197"/>
    <w:rsid w:val="004A15D4"/>
    <w:rsid w:val="004A1BEF"/>
    <w:rsid w:val="004A247E"/>
    <w:rsid w:val="004A2E70"/>
    <w:rsid w:val="004A2F94"/>
    <w:rsid w:val="004A3203"/>
    <w:rsid w:val="004A3226"/>
    <w:rsid w:val="004A4088"/>
    <w:rsid w:val="004A44EB"/>
    <w:rsid w:val="004A4E69"/>
    <w:rsid w:val="004A5255"/>
    <w:rsid w:val="004A5550"/>
    <w:rsid w:val="004A6D32"/>
    <w:rsid w:val="004A75A8"/>
    <w:rsid w:val="004A79F7"/>
    <w:rsid w:val="004B0588"/>
    <w:rsid w:val="004B07C4"/>
    <w:rsid w:val="004B0FD8"/>
    <w:rsid w:val="004B1159"/>
    <w:rsid w:val="004B1270"/>
    <w:rsid w:val="004B1B7D"/>
    <w:rsid w:val="004B33EB"/>
    <w:rsid w:val="004B3562"/>
    <w:rsid w:val="004B383F"/>
    <w:rsid w:val="004B3A87"/>
    <w:rsid w:val="004B3CEF"/>
    <w:rsid w:val="004B3EB3"/>
    <w:rsid w:val="004B3FD0"/>
    <w:rsid w:val="004B4533"/>
    <w:rsid w:val="004B5BA8"/>
    <w:rsid w:val="004B6D27"/>
    <w:rsid w:val="004B6FAD"/>
    <w:rsid w:val="004B79B1"/>
    <w:rsid w:val="004C13C6"/>
    <w:rsid w:val="004C2478"/>
    <w:rsid w:val="004C2D41"/>
    <w:rsid w:val="004C3C8D"/>
    <w:rsid w:val="004C4DCF"/>
    <w:rsid w:val="004C55E9"/>
    <w:rsid w:val="004C583B"/>
    <w:rsid w:val="004C5AAE"/>
    <w:rsid w:val="004C5D17"/>
    <w:rsid w:val="004C6069"/>
    <w:rsid w:val="004C676B"/>
    <w:rsid w:val="004C68EE"/>
    <w:rsid w:val="004C7377"/>
    <w:rsid w:val="004C76F4"/>
    <w:rsid w:val="004C78AD"/>
    <w:rsid w:val="004C7A56"/>
    <w:rsid w:val="004D00CB"/>
    <w:rsid w:val="004D0485"/>
    <w:rsid w:val="004D0DDD"/>
    <w:rsid w:val="004D1420"/>
    <w:rsid w:val="004D1CCD"/>
    <w:rsid w:val="004D2136"/>
    <w:rsid w:val="004D221F"/>
    <w:rsid w:val="004D2297"/>
    <w:rsid w:val="004D2D5F"/>
    <w:rsid w:val="004D37C2"/>
    <w:rsid w:val="004D3A63"/>
    <w:rsid w:val="004D3B24"/>
    <w:rsid w:val="004D4692"/>
    <w:rsid w:val="004D49C1"/>
    <w:rsid w:val="004D4F32"/>
    <w:rsid w:val="004D549D"/>
    <w:rsid w:val="004D55F8"/>
    <w:rsid w:val="004D5887"/>
    <w:rsid w:val="004D62C0"/>
    <w:rsid w:val="004D7092"/>
    <w:rsid w:val="004D7798"/>
    <w:rsid w:val="004D7AFB"/>
    <w:rsid w:val="004D7ECB"/>
    <w:rsid w:val="004D7F89"/>
    <w:rsid w:val="004E1927"/>
    <w:rsid w:val="004E1E00"/>
    <w:rsid w:val="004E2D17"/>
    <w:rsid w:val="004E33FF"/>
    <w:rsid w:val="004E3C51"/>
    <w:rsid w:val="004E490E"/>
    <w:rsid w:val="004E5E19"/>
    <w:rsid w:val="004E610D"/>
    <w:rsid w:val="004E6160"/>
    <w:rsid w:val="004E709B"/>
    <w:rsid w:val="004E72C8"/>
    <w:rsid w:val="004E758C"/>
    <w:rsid w:val="004E768E"/>
    <w:rsid w:val="004F0541"/>
    <w:rsid w:val="004F1614"/>
    <w:rsid w:val="004F1A79"/>
    <w:rsid w:val="004F23AA"/>
    <w:rsid w:val="004F29D9"/>
    <w:rsid w:val="004F39AC"/>
    <w:rsid w:val="004F4855"/>
    <w:rsid w:val="004F51E5"/>
    <w:rsid w:val="004F5DEB"/>
    <w:rsid w:val="004F6B7C"/>
    <w:rsid w:val="004F70E4"/>
    <w:rsid w:val="004F7E04"/>
    <w:rsid w:val="00500997"/>
    <w:rsid w:val="00500E53"/>
    <w:rsid w:val="00501FE1"/>
    <w:rsid w:val="00502544"/>
    <w:rsid w:val="00502C80"/>
    <w:rsid w:val="0050340D"/>
    <w:rsid w:val="00504186"/>
    <w:rsid w:val="005041AA"/>
    <w:rsid w:val="00504342"/>
    <w:rsid w:val="005044F6"/>
    <w:rsid w:val="00504D5A"/>
    <w:rsid w:val="00506670"/>
    <w:rsid w:val="005069DC"/>
    <w:rsid w:val="00506FFE"/>
    <w:rsid w:val="005079A8"/>
    <w:rsid w:val="00507C15"/>
    <w:rsid w:val="005107E3"/>
    <w:rsid w:val="00511184"/>
    <w:rsid w:val="005111AC"/>
    <w:rsid w:val="00512E9B"/>
    <w:rsid w:val="00512F35"/>
    <w:rsid w:val="00514DC5"/>
    <w:rsid w:val="00514E42"/>
    <w:rsid w:val="00515289"/>
    <w:rsid w:val="00515D39"/>
    <w:rsid w:val="00516860"/>
    <w:rsid w:val="00517295"/>
    <w:rsid w:val="0051731F"/>
    <w:rsid w:val="005175AB"/>
    <w:rsid w:val="0051798E"/>
    <w:rsid w:val="00520D23"/>
    <w:rsid w:val="00521244"/>
    <w:rsid w:val="00521347"/>
    <w:rsid w:val="00521953"/>
    <w:rsid w:val="005229FE"/>
    <w:rsid w:val="00522EC5"/>
    <w:rsid w:val="00523861"/>
    <w:rsid w:val="00524450"/>
    <w:rsid w:val="00524664"/>
    <w:rsid w:val="00525535"/>
    <w:rsid w:val="00526678"/>
    <w:rsid w:val="0052681A"/>
    <w:rsid w:val="0052698B"/>
    <w:rsid w:val="0052746E"/>
    <w:rsid w:val="0052753F"/>
    <w:rsid w:val="005275A8"/>
    <w:rsid w:val="0052793A"/>
    <w:rsid w:val="00527AF7"/>
    <w:rsid w:val="00530358"/>
    <w:rsid w:val="00530A10"/>
    <w:rsid w:val="00531A97"/>
    <w:rsid w:val="00531DDF"/>
    <w:rsid w:val="005325BA"/>
    <w:rsid w:val="00532E45"/>
    <w:rsid w:val="00533454"/>
    <w:rsid w:val="00534AC2"/>
    <w:rsid w:val="0053508C"/>
    <w:rsid w:val="00535FE9"/>
    <w:rsid w:val="00536935"/>
    <w:rsid w:val="00536C82"/>
    <w:rsid w:val="00537E0B"/>
    <w:rsid w:val="00540DD5"/>
    <w:rsid w:val="00541A19"/>
    <w:rsid w:val="00541BB0"/>
    <w:rsid w:val="00541F47"/>
    <w:rsid w:val="00543B67"/>
    <w:rsid w:val="00544AA9"/>
    <w:rsid w:val="00544DDD"/>
    <w:rsid w:val="00546DFF"/>
    <w:rsid w:val="00547671"/>
    <w:rsid w:val="00547D21"/>
    <w:rsid w:val="005501CE"/>
    <w:rsid w:val="00550BDB"/>
    <w:rsid w:val="00550CA1"/>
    <w:rsid w:val="00551DDB"/>
    <w:rsid w:val="00552464"/>
    <w:rsid w:val="00552842"/>
    <w:rsid w:val="00553F36"/>
    <w:rsid w:val="00554764"/>
    <w:rsid w:val="0055539C"/>
    <w:rsid w:val="00556F1E"/>
    <w:rsid w:val="0055787A"/>
    <w:rsid w:val="0056007F"/>
    <w:rsid w:val="00560BD1"/>
    <w:rsid w:val="00560F0A"/>
    <w:rsid w:val="0056251B"/>
    <w:rsid w:val="00562CB7"/>
    <w:rsid w:val="005635AF"/>
    <w:rsid w:val="005636A5"/>
    <w:rsid w:val="005639D6"/>
    <w:rsid w:val="00563EE5"/>
    <w:rsid w:val="00564566"/>
    <w:rsid w:val="0056634A"/>
    <w:rsid w:val="005664F0"/>
    <w:rsid w:val="00567A09"/>
    <w:rsid w:val="005704C3"/>
    <w:rsid w:val="00571354"/>
    <w:rsid w:val="00572388"/>
    <w:rsid w:val="00572428"/>
    <w:rsid w:val="00572757"/>
    <w:rsid w:val="005731F2"/>
    <w:rsid w:val="0057371A"/>
    <w:rsid w:val="00573774"/>
    <w:rsid w:val="00574018"/>
    <w:rsid w:val="00574288"/>
    <w:rsid w:val="005748EB"/>
    <w:rsid w:val="00575273"/>
    <w:rsid w:val="00576ABA"/>
    <w:rsid w:val="00577290"/>
    <w:rsid w:val="005776B7"/>
    <w:rsid w:val="005778EE"/>
    <w:rsid w:val="005800BE"/>
    <w:rsid w:val="00580570"/>
    <w:rsid w:val="00580DB3"/>
    <w:rsid w:val="005822E4"/>
    <w:rsid w:val="00582359"/>
    <w:rsid w:val="00582CBD"/>
    <w:rsid w:val="00582F43"/>
    <w:rsid w:val="00585B0B"/>
    <w:rsid w:val="00590683"/>
    <w:rsid w:val="00591147"/>
    <w:rsid w:val="005919F3"/>
    <w:rsid w:val="00591AC2"/>
    <w:rsid w:val="00592654"/>
    <w:rsid w:val="00592A43"/>
    <w:rsid w:val="00592D37"/>
    <w:rsid w:val="00593114"/>
    <w:rsid w:val="00594080"/>
    <w:rsid w:val="00594BB4"/>
    <w:rsid w:val="00596FF2"/>
    <w:rsid w:val="005970AC"/>
    <w:rsid w:val="00597F24"/>
    <w:rsid w:val="00597F2D"/>
    <w:rsid w:val="005A05A5"/>
    <w:rsid w:val="005A1C86"/>
    <w:rsid w:val="005A1FFD"/>
    <w:rsid w:val="005A27B4"/>
    <w:rsid w:val="005A3190"/>
    <w:rsid w:val="005A32A9"/>
    <w:rsid w:val="005A3D7F"/>
    <w:rsid w:val="005A46B1"/>
    <w:rsid w:val="005A47DE"/>
    <w:rsid w:val="005A4EDC"/>
    <w:rsid w:val="005A5D07"/>
    <w:rsid w:val="005A628D"/>
    <w:rsid w:val="005A6AD3"/>
    <w:rsid w:val="005B0BC9"/>
    <w:rsid w:val="005B1E1B"/>
    <w:rsid w:val="005B2CCE"/>
    <w:rsid w:val="005B382A"/>
    <w:rsid w:val="005B3A75"/>
    <w:rsid w:val="005B48B2"/>
    <w:rsid w:val="005B498E"/>
    <w:rsid w:val="005B4A87"/>
    <w:rsid w:val="005B591D"/>
    <w:rsid w:val="005B6DEE"/>
    <w:rsid w:val="005C0B20"/>
    <w:rsid w:val="005C1888"/>
    <w:rsid w:val="005C1EF0"/>
    <w:rsid w:val="005C2599"/>
    <w:rsid w:val="005C26DE"/>
    <w:rsid w:val="005C341A"/>
    <w:rsid w:val="005C3A9E"/>
    <w:rsid w:val="005C3B2A"/>
    <w:rsid w:val="005C60F3"/>
    <w:rsid w:val="005D0B5D"/>
    <w:rsid w:val="005D11D0"/>
    <w:rsid w:val="005D11D2"/>
    <w:rsid w:val="005D1B6C"/>
    <w:rsid w:val="005D1C95"/>
    <w:rsid w:val="005D22F8"/>
    <w:rsid w:val="005D2A5C"/>
    <w:rsid w:val="005D35F3"/>
    <w:rsid w:val="005D3F7B"/>
    <w:rsid w:val="005D40E3"/>
    <w:rsid w:val="005D46D4"/>
    <w:rsid w:val="005D57E2"/>
    <w:rsid w:val="005D6055"/>
    <w:rsid w:val="005D61C2"/>
    <w:rsid w:val="005D67E8"/>
    <w:rsid w:val="005D6C96"/>
    <w:rsid w:val="005E089A"/>
    <w:rsid w:val="005E1F2E"/>
    <w:rsid w:val="005E2461"/>
    <w:rsid w:val="005E3408"/>
    <w:rsid w:val="005E3429"/>
    <w:rsid w:val="005E345A"/>
    <w:rsid w:val="005E4175"/>
    <w:rsid w:val="005E468F"/>
    <w:rsid w:val="005E4AAE"/>
    <w:rsid w:val="005E62BA"/>
    <w:rsid w:val="005E67DF"/>
    <w:rsid w:val="005E72BB"/>
    <w:rsid w:val="005E7B3D"/>
    <w:rsid w:val="005E7C11"/>
    <w:rsid w:val="005F04D9"/>
    <w:rsid w:val="005F274E"/>
    <w:rsid w:val="005F3307"/>
    <w:rsid w:val="005F35F9"/>
    <w:rsid w:val="005F3A50"/>
    <w:rsid w:val="005F488C"/>
    <w:rsid w:val="005F4A35"/>
    <w:rsid w:val="005F4CA6"/>
    <w:rsid w:val="005F4DB4"/>
    <w:rsid w:val="005F4E6B"/>
    <w:rsid w:val="005F54CD"/>
    <w:rsid w:val="005F5E0B"/>
    <w:rsid w:val="005F70C6"/>
    <w:rsid w:val="005F76DD"/>
    <w:rsid w:val="005F7955"/>
    <w:rsid w:val="005F7FB4"/>
    <w:rsid w:val="00600E62"/>
    <w:rsid w:val="006014AA"/>
    <w:rsid w:val="006018E5"/>
    <w:rsid w:val="006018F2"/>
    <w:rsid w:val="00601D58"/>
    <w:rsid w:val="00602D49"/>
    <w:rsid w:val="0060381A"/>
    <w:rsid w:val="00605D22"/>
    <w:rsid w:val="00605E4C"/>
    <w:rsid w:val="00606245"/>
    <w:rsid w:val="00606392"/>
    <w:rsid w:val="00606AB9"/>
    <w:rsid w:val="00607029"/>
    <w:rsid w:val="00607233"/>
    <w:rsid w:val="00607B7B"/>
    <w:rsid w:val="00610027"/>
    <w:rsid w:val="00610C56"/>
    <w:rsid w:val="00612CE8"/>
    <w:rsid w:val="00612F90"/>
    <w:rsid w:val="00613C59"/>
    <w:rsid w:val="00614E30"/>
    <w:rsid w:val="0061524B"/>
    <w:rsid w:val="00615257"/>
    <w:rsid w:val="00615AE0"/>
    <w:rsid w:val="00615D8B"/>
    <w:rsid w:val="006168AB"/>
    <w:rsid w:val="00616AA5"/>
    <w:rsid w:val="00616FB1"/>
    <w:rsid w:val="0061744A"/>
    <w:rsid w:val="00620750"/>
    <w:rsid w:val="00620857"/>
    <w:rsid w:val="00620906"/>
    <w:rsid w:val="00620CC2"/>
    <w:rsid w:val="00621D21"/>
    <w:rsid w:val="0062237E"/>
    <w:rsid w:val="0062344B"/>
    <w:rsid w:val="006236E0"/>
    <w:rsid w:val="00623AF3"/>
    <w:rsid w:val="00623F9B"/>
    <w:rsid w:val="00625A94"/>
    <w:rsid w:val="006260CD"/>
    <w:rsid w:val="00626EA8"/>
    <w:rsid w:val="00627478"/>
    <w:rsid w:val="00627490"/>
    <w:rsid w:val="00627B0E"/>
    <w:rsid w:val="00627F18"/>
    <w:rsid w:val="00627FEA"/>
    <w:rsid w:val="00630F1B"/>
    <w:rsid w:val="00631079"/>
    <w:rsid w:val="0063115C"/>
    <w:rsid w:val="00631481"/>
    <w:rsid w:val="00632F79"/>
    <w:rsid w:val="00633D2C"/>
    <w:rsid w:val="0063426B"/>
    <w:rsid w:val="00636236"/>
    <w:rsid w:val="00636BF9"/>
    <w:rsid w:val="00636D5F"/>
    <w:rsid w:val="00636F3C"/>
    <w:rsid w:val="006377D2"/>
    <w:rsid w:val="00637F7C"/>
    <w:rsid w:val="0064030A"/>
    <w:rsid w:val="006410EC"/>
    <w:rsid w:val="00641732"/>
    <w:rsid w:val="00641956"/>
    <w:rsid w:val="00641975"/>
    <w:rsid w:val="0064538C"/>
    <w:rsid w:val="0064566A"/>
    <w:rsid w:val="00646883"/>
    <w:rsid w:val="00646E53"/>
    <w:rsid w:val="00650959"/>
    <w:rsid w:val="00650F03"/>
    <w:rsid w:val="006520E9"/>
    <w:rsid w:val="00653065"/>
    <w:rsid w:val="00654B17"/>
    <w:rsid w:val="00655C1A"/>
    <w:rsid w:val="00655EA9"/>
    <w:rsid w:val="00655F05"/>
    <w:rsid w:val="00656470"/>
    <w:rsid w:val="00656832"/>
    <w:rsid w:val="00656910"/>
    <w:rsid w:val="006569FA"/>
    <w:rsid w:val="006570E2"/>
    <w:rsid w:val="00657A73"/>
    <w:rsid w:val="00660004"/>
    <w:rsid w:val="006604DC"/>
    <w:rsid w:val="006616D8"/>
    <w:rsid w:val="00661E6B"/>
    <w:rsid w:val="00662170"/>
    <w:rsid w:val="00662904"/>
    <w:rsid w:val="0066347F"/>
    <w:rsid w:val="00663DFF"/>
    <w:rsid w:val="006642F0"/>
    <w:rsid w:val="0066485F"/>
    <w:rsid w:val="006653D8"/>
    <w:rsid w:val="00665A28"/>
    <w:rsid w:val="00666416"/>
    <w:rsid w:val="00666B5D"/>
    <w:rsid w:val="00666EE8"/>
    <w:rsid w:val="0066738E"/>
    <w:rsid w:val="00667531"/>
    <w:rsid w:val="00667762"/>
    <w:rsid w:val="00671277"/>
    <w:rsid w:val="00671CCA"/>
    <w:rsid w:val="00673C5A"/>
    <w:rsid w:val="006742D3"/>
    <w:rsid w:val="00674AB1"/>
    <w:rsid w:val="00674BE3"/>
    <w:rsid w:val="00674D2D"/>
    <w:rsid w:val="00674EF4"/>
    <w:rsid w:val="00676410"/>
    <w:rsid w:val="006769D9"/>
    <w:rsid w:val="00677242"/>
    <w:rsid w:val="00677A51"/>
    <w:rsid w:val="0068017B"/>
    <w:rsid w:val="00681716"/>
    <w:rsid w:val="00681D78"/>
    <w:rsid w:val="00682D45"/>
    <w:rsid w:val="006835DC"/>
    <w:rsid w:val="006854E7"/>
    <w:rsid w:val="00685A12"/>
    <w:rsid w:val="00686235"/>
    <w:rsid w:val="0068715B"/>
    <w:rsid w:val="006877E9"/>
    <w:rsid w:val="00690082"/>
    <w:rsid w:val="00690A4D"/>
    <w:rsid w:val="006916FF"/>
    <w:rsid w:val="006926EB"/>
    <w:rsid w:val="006934C1"/>
    <w:rsid w:val="00693C3C"/>
    <w:rsid w:val="00694B1C"/>
    <w:rsid w:val="00695930"/>
    <w:rsid w:val="006966D5"/>
    <w:rsid w:val="006978BD"/>
    <w:rsid w:val="006979BE"/>
    <w:rsid w:val="006A00D2"/>
    <w:rsid w:val="006A019B"/>
    <w:rsid w:val="006A0609"/>
    <w:rsid w:val="006A1859"/>
    <w:rsid w:val="006A191F"/>
    <w:rsid w:val="006A1A9C"/>
    <w:rsid w:val="006A297A"/>
    <w:rsid w:val="006A2AA8"/>
    <w:rsid w:val="006A307E"/>
    <w:rsid w:val="006A3604"/>
    <w:rsid w:val="006A3D64"/>
    <w:rsid w:val="006A3FBB"/>
    <w:rsid w:val="006A41D8"/>
    <w:rsid w:val="006A4C85"/>
    <w:rsid w:val="006A50B4"/>
    <w:rsid w:val="006A59E9"/>
    <w:rsid w:val="006A6708"/>
    <w:rsid w:val="006A6999"/>
    <w:rsid w:val="006A6F6F"/>
    <w:rsid w:val="006A7226"/>
    <w:rsid w:val="006A7A86"/>
    <w:rsid w:val="006A7F37"/>
    <w:rsid w:val="006B038D"/>
    <w:rsid w:val="006B0493"/>
    <w:rsid w:val="006B0891"/>
    <w:rsid w:val="006B1667"/>
    <w:rsid w:val="006B2A93"/>
    <w:rsid w:val="006B3269"/>
    <w:rsid w:val="006B4834"/>
    <w:rsid w:val="006B6C4C"/>
    <w:rsid w:val="006C095D"/>
    <w:rsid w:val="006C1C32"/>
    <w:rsid w:val="006C2965"/>
    <w:rsid w:val="006C53A9"/>
    <w:rsid w:val="006C59CF"/>
    <w:rsid w:val="006C6AB3"/>
    <w:rsid w:val="006C75B8"/>
    <w:rsid w:val="006C7D72"/>
    <w:rsid w:val="006D1353"/>
    <w:rsid w:val="006D1C30"/>
    <w:rsid w:val="006D330B"/>
    <w:rsid w:val="006D5276"/>
    <w:rsid w:val="006D5893"/>
    <w:rsid w:val="006D5BF1"/>
    <w:rsid w:val="006D6550"/>
    <w:rsid w:val="006D7BFF"/>
    <w:rsid w:val="006D7C68"/>
    <w:rsid w:val="006E028C"/>
    <w:rsid w:val="006E0BAF"/>
    <w:rsid w:val="006E1C00"/>
    <w:rsid w:val="006E1F6C"/>
    <w:rsid w:val="006E2000"/>
    <w:rsid w:val="006E31E5"/>
    <w:rsid w:val="006E324C"/>
    <w:rsid w:val="006E3365"/>
    <w:rsid w:val="006E393E"/>
    <w:rsid w:val="006E3AFD"/>
    <w:rsid w:val="006E53C5"/>
    <w:rsid w:val="006E563D"/>
    <w:rsid w:val="006E6F65"/>
    <w:rsid w:val="006E7698"/>
    <w:rsid w:val="006F0E91"/>
    <w:rsid w:val="006F13DB"/>
    <w:rsid w:val="006F14C4"/>
    <w:rsid w:val="006F1622"/>
    <w:rsid w:val="006F3601"/>
    <w:rsid w:val="006F38BE"/>
    <w:rsid w:val="006F55A7"/>
    <w:rsid w:val="006F5B28"/>
    <w:rsid w:val="006F5C1E"/>
    <w:rsid w:val="006F741D"/>
    <w:rsid w:val="006F77DA"/>
    <w:rsid w:val="006F7976"/>
    <w:rsid w:val="00700E06"/>
    <w:rsid w:val="00701E77"/>
    <w:rsid w:val="00701EC1"/>
    <w:rsid w:val="007028A2"/>
    <w:rsid w:val="00702E67"/>
    <w:rsid w:val="0070340B"/>
    <w:rsid w:val="00704662"/>
    <w:rsid w:val="007056F6"/>
    <w:rsid w:val="00705A12"/>
    <w:rsid w:val="00706466"/>
    <w:rsid w:val="00706499"/>
    <w:rsid w:val="007069C2"/>
    <w:rsid w:val="00707356"/>
    <w:rsid w:val="00707629"/>
    <w:rsid w:val="00707E25"/>
    <w:rsid w:val="00707FD6"/>
    <w:rsid w:val="007111E9"/>
    <w:rsid w:val="00711622"/>
    <w:rsid w:val="0071176A"/>
    <w:rsid w:val="00711D53"/>
    <w:rsid w:val="0071295C"/>
    <w:rsid w:val="00712B87"/>
    <w:rsid w:val="00713536"/>
    <w:rsid w:val="0071355E"/>
    <w:rsid w:val="00713CCA"/>
    <w:rsid w:val="00713D6B"/>
    <w:rsid w:val="00714B79"/>
    <w:rsid w:val="00714D9F"/>
    <w:rsid w:val="00715211"/>
    <w:rsid w:val="0071527A"/>
    <w:rsid w:val="0071538C"/>
    <w:rsid w:val="00715DC6"/>
    <w:rsid w:val="0071669F"/>
    <w:rsid w:val="007176F9"/>
    <w:rsid w:val="0071786F"/>
    <w:rsid w:val="00717CA5"/>
    <w:rsid w:val="007202E3"/>
    <w:rsid w:val="00720EFD"/>
    <w:rsid w:val="00721CFB"/>
    <w:rsid w:val="00724824"/>
    <w:rsid w:val="00725078"/>
    <w:rsid w:val="0072518F"/>
    <w:rsid w:val="00725AE2"/>
    <w:rsid w:val="007263B1"/>
    <w:rsid w:val="00726515"/>
    <w:rsid w:val="00726963"/>
    <w:rsid w:val="00726CEE"/>
    <w:rsid w:val="00731A1A"/>
    <w:rsid w:val="00731EE8"/>
    <w:rsid w:val="00732044"/>
    <w:rsid w:val="0073204A"/>
    <w:rsid w:val="007334AB"/>
    <w:rsid w:val="00733C80"/>
    <w:rsid w:val="0073476B"/>
    <w:rsid w:val="007348C3"/>
    <w:rsid w:val="00734A55"/>
    <w:rsid w:val="00735BDE"/>
    <w:rsid w:val="00736522"/>
    <w:rsid w:val="00736D22"/>
    <w:rsid w:val="00736E2D"/>
    <w:rsid w:val="00736F36"/>
    <w:rsid w:val="007371E9"/>
    <w:rsid w:val="0073742E"/>
    <w:rsid w:val="00737E9A"/>
    <w:rsid w:val="00740CC4"/>
    <w:rsid w:val="0074374A"/>
    <w:rsid w:val="00743F41"/>
    <w:rsid w:val="00744783"/>
    <w:rsid w:val="00745281"/>
    <w:rsid w:val="00746097"/>
    <w:rsid w:val="00746F1B"/>
    <w:rsid w:val="007476AE"/>
    <w:rsid w:val="00747D46"/>
    <w:rsid w:val="00747EA4"/>
    <w:rsid w:val="0075081F"/>
    <w:rsid w:val="0075137A"/>
    <w:rsid w:val="007514E2"/>
    <w:rsid w:val="00751F91"/>
    <w:rsid w:val="0075351A"/>
    <w:rsid w:val="00754301"/>
    <w:rsid w:val="007548D8"/>
    <w:rsid w:val="00754B1A"/>
    <w:rsid w:val="00754E93"/>
    <w:rsid w:val="007567FA"/>
    <w:rsid w:val="00756CD9"/>
    <w:rsid w:val="0075766E"/>
    <w:rsid w:val="00757C58"/>
    <w:rsid w:val="00757FF9"/>
    <w:rsid w:val="00760053"/>
    <w:rsid w:val="00760947"/>
    <w:rsid w:val="00761875"/>
    <w:rsid w:val="00761A49"/>
    <w:rsid w:val="0076206F"/>
    <w:rsid w:val="007620E2"/>
    <w:rsid w:val="00763E04"/>
    <w:rsid w:val="00763EA3"/>
    <w:rsid w:val="00764562"/>
    <w:rsid w:val="007651F3"/>
    <w:rsid w:val="00765566"/>
    <w:rsid w:val="007658F2"/>
    <w:rsid w:val="00765F22"/>
    <w:rsid w:val="007664A1"/>
    <w:rsid w:val="00766873"/>
    <w:rsid w:val="00766C7E"/>
    <w:rsid w:val="0076750E"/>
    <w:rsid w:val="007678DF"/>
    <w:rsid w:val="00767AFF"/>
    <w:rsid w:val="00767B3B"/>
    <w:rsid w:val="00767C7F"/>
    <w:rsid w:val="00771B82"/>
    <w:rsid w:val="007722E4"/>
    <w:rsid w:val="00772911"/>
    <w:rsid w:val="00772F0A"/>
    <w:rsid w:val="00773994"/>
    <w:rsid w:val="00774F8C"/>
    <w:rsid w:val="00775718"/>
    <w:rsid w:val="007768CC"/>
    <w:rsid w:val="00776A9B"/>
    <w:rsid w:val="00780766"/>
    <w:rsid w:val="00780ADA"/>
    <w:rsid w:val="00780C1F"/>
    <w:rsid w:val="007810DF"/>
    <w:rsid w:val="0078141E"/>
    <w:rsid w:val="0078231B"/>
    <w:rsid w:val="0078233B"/>
    <w:rsid w:val="00782477"/>
    <w:rsid w:val="007832F0"/>
    <w:rsid w:val="007842B2"/>
    <w:rsid w:val="00784518"/>
    <w:rsid w:val="007847D3"/>
    <w:rsid w:val="00785154"/>
    <w:rsid w:val="00786047"/>
    <w:rsid w:val="007867E0"/>
    <w:rsid w:val="0078698D"/>
    <w:rsid w:val="00787AF8"/>
    <w:rsid w:val="00790889"/>
    <w:rsid w:val="007909EF"/>
    <w:rsid w:val="00791348"/>
    <w:rsid w:val="00791812"/>
    <w:rsid w:val="00793A5D"/>
    <w:rsid w:val="00793BEB"/>
    <w:rsid w:val="007941B6"/>
    <w:rsid w:val="00794344"/>
    <w:rsid w:val="007943F6"/>
    <w:rsid w:val="007944AC"/>
    <w:rsid w:val="00794D68"/>
    <w:rsid w:val="00795273"/>
    <w:rsid w:val="007963C8"/>
    <w:rsid w:val="007967AB"/>
    <w:rsid w:val="00796F62"/>
    <w:rsid w:val="007A0320"/>
    <w:rsid w:val="007A10E7"/>
    <w:rsid w:val="007A1D1D"/>
    <w:rsid w:val="007A1E1D"/>
    <w:rsid w:val="007A38D5"/>
    <w:rsid w:val="007A3FAA"/>
    <w:rsid w:val="007A4616"/>
    <w:rsid w:val="007A4974"/>
    <w:rsid w:val="007A4B6B"/>
    <w:rsid w:val="007A527A"/>
    <w:rsid w:val="007A57E8"/>
    <w:rsid w:val="007A5D32"/>
    <w:rsid w:val="007A6C37"/>
    <w:rsid w:val="007B1123"/>
    <w:rsid w:val="007B1863"/>
    <w:rsid w:val="007B19C9"/>
    <w:rsid w:val="007B23A8"/>
    <w:rsid w:val="007B373E"/>
    <w:rsid w:val="007B45FF"/>
    <w:rsid w:val="007B47C7"/>
    <w:rsid w:val="007B4A96"/>
    <w:rsid w:val="007B67C2"/>
    <w:rsid w:val="007B6EA5"/>
    <w:rsid w:val="007C0895"/>
    <w:rsid w:val="007C0C03"/>
    <w:rsid w:val="007C1206"/>
    <w:rsid w:val="007C1D32"/>
    <w:rsid w:val="007C4637"/>
    <w:rsid w:val="007C4A02"/>
    <w:rsid w:val="007C4B5A"/>
    <w:rsid w:val="007C5190"/>
    <w:rsid w:val="007C5707"/>
    <w:rsid w:val="007C5E09"/>
    <w:rsid w:val="007C6848"/>
    <w:rsid w:val="007C790E"/>
    <w:rsid w:val="007C7B76"/>
    <w:rsid w:val="007C7FD8"/>
    <w:rsid w:val="007D0D94"/>
    <w:rsid w:val="007D1163"/>
    <w:rsid w:val="007D116E"/>
    <w:rsid w:val="007D11D1"/>
    <w:rsid w:val="007D129D"/>
    <w:rsid w:val="007D397E"/>
    <w:rsid w:val="007D4633"/>
    <w:rsid w:val="007D4836"/>
    <w:rsid w:val="007D5469"/>
    <w:rsid w:val="007D5B45"/>
    <w:rsid w:val="007D5C69"/>
    <w:rsid w:val="007D5CFF"/>
    <w:rsid w:val="007D6310"/>
    <w:rsid w:val="007D64B4"/>
    <w:rsid w:val="007D6C83"/>
    <w:rsid w:val="007D6D25"/>
    <w:rsid w:val="007D79B0"/>
    <w:rsid w:val="007D7DE0"/>
    <w:rsid w:val="007E11A1"/>
    <w:rsid w:val="007E1929"/>
    <w:rsid w:val="007E1A22"/>
    <w:rsid w:val="007E1D29"/>
    <w:rsid w:val="007E2B1A"/>
    <w:rsid w:val="007E318B"/>
    <w:rsid w:val="007E52BB"/>
    <w:rsid w:val="007E5B59"/>
    <w:rsid w:val="007E5E8A"/>
    <w:rsid w:val="007F0B32"/>
    <w:rsid w:val="007F1195"/>
    <w:rsid w:val="007F1325"/>
    <w:rsid w:val="007F1613"/>
    <w:rsid w:val="007F1935"/>
    <w:rsid w:val="007F25C5"/>
    <w:rsid w:val="007F2F0C"/>
    <w:rsid w:val="007F47E2"/>
    <w:rsid w:val="007F4C0F"/>
    <w:rsid w:val="007F5FB9"/>
    <w:rsid w:val="007F6184"/>
    <w:rsid w:val="007F693D"/>
    <w:rsid w:val="007F6B8C"/>
    <w:rsid w:val="007F6E67"/>
    <w:rsid w:val="007F6E71"/>
    <w:rsid w:val="008000FA"/>
    <w:rsid w:val="00801ED0"/>
    <w:rsid w:val="0080270A"/>
    <w:rsid w:val="00802936"/>
    <w:rsid w:val="00802D51"/>
    <w:rsid w:val="008034BB"/>
    <w:rsid w:val="008039B0"/>
    <w:rsid w:val="00803FF0"/>
    <w:rsid w:val="00804337"/>
    <w:rsid w:val="0080512F"/>
    <w:rsid w:val="00805430"/>
    <w:rsid w:val="008072E9"/>
    <w:rsid w:val="0080783B"/>
    <w:rsid w:val="00807939"/>
    <w:rsid w:val="008079B7"/>
    <w:rsid w:val="00807D5B"/>
    <w:rsid w:val="008103A7"/>
    <w:rsid w:val="00810BB3"/>
    <w:rsid w:val="0081102F"/>
    <w:rsid w:val="008110A1"/>
    <w:rsid w:val="00811165"/>
    <w:rsid w:val="00811490"/>
    <w:rsid w:val="008126B8"/>
    <w:rsid w:val="0081476F"/>
    <w:rsid w:val="00814857"/>
    <w:rsid w:val="0081557E"/>
    <w:rsid w:val="00815A3F"/>
    <w:rsid w:val="00815F58"/>
    <w:rsid w:val="008162E1"/>
    <w:rsid w:val="00817CBC"/>
    <w:rsid w:val="008203E4"/>
    <w:rsid w:val="008205EB"/>
    <w:rsid w:val="00820828"/>
    <w:rsid w:val="0082159B"/>
    <w:rsid w:val="008215CC"/>
    <w:rsid w:val="00822377"/>
    <w:rsid w:val="00824309"/>
    <w:rsid w:val="008246C4"/>
    <w:rsid w:val="008249C2"/>
    <w:rsid w:val="00825384"/>
    <w:rsid w:val="00825626"/>
    <w:rsid w:val="00825EFF"/>
    <w:rsid w:val="0082650C"/>
    <w:rsid w:val="0082729A"/>
    <w:rsid w:val="0083151C"/>
    <w:rsid w:val="00831532"/>
    <w:rsid w:val="008318F0"/>
    <w:rsid w:val="00832ACE"/>
    <w:rsid w:val="00832CA6"/>
    <w:rsid w:val="00833816"/>
    <w:rsid w:val="00833C44"/>
    <w:rsid w:val="00833E67"/>
    <w:rsid w:val="00833F91"/>
    <w:rsid w:val="008358C8"/>
    <w:rsid w:val="00835BC2"/>
    <w:rsid w:val="00836135"/>
    <w:rsid w:val="0083676C"/>
    <w:rsid w:val="00837423"/>
    <w:rsid w:val="00837EA6"/>
    <w:rsid w:val="008403EC"/>
    <w:rsid w:val="00840C22"/>
    <w:rsid w:val="0084111D"/>
    <w:rsid w:val="00841D69"/>
    <w:rsid w:val="0084233A"/>
    <w:rsid w:val="008423CA"/>
    <w:rsid w:val="00842926"/>
    <w:rsid w:val="00842BCE"/>
    <w:rsid w:val="00842ED7"/>
    <w:rsid w:val="0084326E"/>
    <w:rsid w:val="00843A6A"/>
    <w:rsid w:val="00843F90"/>
    <w:rsid w:val="008446CC"/>
    <w:rsid w:val="00845114"/>
    <w:rsid w:val="00845287"/>
    <w:rsid w:val="00845708"/>
    <w:rsid w:val="00845FEF"/>
    <w:rsid w:val="008515AA"/>
    <w:rsid w:val="00851A5F"/>
    <w:rsid w:val="00852470"/>
    <w:rsid w:val="00854244"/>
    <w:rsid w:val="00854628"/>
    <w:rsid w:val="008553B5"/>
    <w:rsid w:val="00857F1A"/>
    <w:rsid w:val="00860DCA"/>
    <w:rsid w:val="00861DE2"/>
    <w:rsid w:val="00862898"/>
    <w:rsid w:val="00862F8F"/>
    <w:rsid w:val="00863DA8"/>
    <w:rsid w:val="00864B42"/>
    <w:rsid w:val="00864D7B"/>
    <w:rsid w:val="00864EF3"/>
    <w:rsid w:val="0086551E"/>
    <w:rsid w:val="00865CB7"/>
    <w:rsid w:val="00865E57"/>
    <w:rsid w:val="008660D2"/>
    <w:rsid w:val="00866252"/>
    <w:rsid w:val="008664CD"/>
    <w:rsid w:val="00867C3A"/>
    <w:rsid w:val="008703BE"/>
    <w:rsid w:val="00871D10"/>
    <w:rsid w:val="00872186"/>
    <w:rsid w:val="00872E58"/>
    <w:rsid w:val="00873F79"/>
    <w:rsid w:val="00874EAE"/>
    <w:rsid w:val="0087517F"/>
    <w:rsid w:val="008756AC"/>
    <w:rsid w:val="008756B9"/>
    <w:rsid w:val="008757D5"/>
    <w:rsid w:val="008759F8"/>
    <w:rsid w:val="00876036"/>
    <w:rsid w:val="008762E1"/>
    <w:rsid w:val="00877028"/>
    <w:rsid w:val="00877A93"/>
    <w:rsid w:val="00877B60"/>
    <w:rsid w:val="00880979"/>
    <w:rsid w:val="00880DE6"/>
    <w:rsid w:val="00880F59"/>
    <w:rsid w:val="00881052"/>
    <w:rsid w:val="00881F3C"/>
    <w:rsid w:val="0088210B"/>
    <w:rsid w:val="0088372D"/>
    <w:rsid w:val="00883D65"/>
    <w:rsid w:val="00885069"/>
    <w:rsid w:val="008857AB"/>
    <w:rsid w:val="00885CC6"/>
    <w:rsid w:val="0088679E"/>
    <w:rsid w:val="0088751B"/>
    <w:rsid w:val="00887C2A"/>
    <w:rsid w:val="008902F6"/>
    <w:rsid w:val="0089049D"/>
    <w:rsid w:val="0089096F"/>
    <w:rsid w:val="008919AA"/>
    <w:rsid w:val="00891A0B"/>
    <w:rsid w:val="00891AAB"/>
    <w:rsid w:val="00891D27"/>
    <w:rsid w:val="0089253F"/>
    <w:rsid w:val="00892C95"/>
    <w:rsid w:val="008940D9"/>
    <w:rsid w:val="008948EB"/>
    <w:rsid w:val="00894D32"/>
    <w:rsid w:val="00895786"/>
    <w:rsid w:val="008966C8"/>
    <w:rsid w:val="008971E4"/>
    <w:rsid w:val="0089734F"/>
    <w:rsid w:val="00897BF4"/>
    <w:rsid w:val="00897E81"/>
    <w:rsid w:val="008A004E"/>
    <w:rsid w:val="008A0F25"/>
    <w:rsid w:val="008A1D64"/>
    <w:rsid w:val="008A22D6"/>
    <w:rsid w:val="008A3631"/>
    <w:rsid w:val="008A3C77"/>
    <w:rsid w:val="008A40DD"/>
    <w:rsid w:val="008A41BD"/>
    <w:rsid w:val="008A470D"/>
    <w:rsid w:val="008A48BB"/>
    <w:rsid w:val="008A4C1C"/>
    <w:rsid w:val="008A5DA3"/>
    <w:rsid w:val="008B0C7A"/>
    <w:rsid w:val="008B220D"/>
    <w:rsid w:val="008B5316"/>
    <w:rsid w:val="008B58B1"/>
    <w:rsid w:val="008B5EAF"/>
    <w:rsid w:val="008B6A2F"/>
    <w:rsid w:val="008B6CCA"/>
    <w:rsid w:val="008B7BD8"/>
    <w:rsid w:val="008C11E5"/>
    <w:rsid w:val="008C2013"/>
    <w:rsid w:val="008C231A"/>
    <w:rsid w:val="008C32FD"/>
    <w:rsid w:val="008C39F0"/>
    <w:rsid w:val="008C3D9F"/>
    <w:rsid w:val="008C3FEC"/>
    <w:rsid w:val="008C4017"/>
    <w:rsid w:val="008C4903"/>
    <w:rsid w:val="008C50B8"/>
    <w:rsid w:val="008C58BE"/>
    <w:rsid w:val="008C59AF"/>
    <w:rsid w:val="008C628F"/>
    <w:rsid w:val="008C63A2"/>
    <w:rsid w:val="008C6759"/>
    <w:rsid w:val="008C67D1"/>
    <w:rsid w:val="008C76A7"/>
    <w:rsid w:val="008C78FA"/>
    <w:rsid w:val="008C7C4B"/>
    <w:rsid w:val="008D004C"/>
    <w:rsid w:val="008D06DB"/>
    <w:rsid w:val="008D090E"/>
    <w:rsid w:val="008D1B9E"/>
    <w:rsid w:val="008D1C60"/>
    <w:rsid w:val="008D2731"/>
    <w:rsid w:val="008D29F8"/>
    <w:rsid w:val="008D5466"/>
    <w:rsid w:val="008D618C"/>
    <w:rsid w:val="008D6344"/>
    <w:rsid w:val="008D6BD4"/>
    <w:rsid w:val="008D70A7"/>
    <w:rsid w:val="008D74C5"/>
    <w:rsid w:val="008D7605"/>
    <w:rsid w:val="008D7F5F"/>
    <w:rsid w:val="008E0B06"/>
    <w:rsid w:val="008E0ECB"/>
    <w:rsid w:val="008E2007"/>
    <w:rsid w:val="008E22BA"/>
    <w:rsid w:val="008E371F"/>
    <w:rsid w:val="008E388E"/>
    <w:rsid w:val="008E3C3D"/>
    <w:rsid w:val="008E43B1"/>
    <w:rsid w:val="008E4488"/>
    <w:rsid w:val="008E53BA"/>
    <w:rsid w:val="008E58D0"/>
    <w:rsid w:val="008E6219"/>
    <w:rsid w:val="008E63D0"/>
    <w:rsid w:val="008E6805"/>
    <w:rsid w:val="008E6C79"/>
    <w:rsid w:val="008E6E6F"/>
    <w:rsid w:val="008E789C"/>
    <w:rsid w:val="008F00A9"/>
    <w:rsid w:val="008F0121"/>
    <w:rsid w:val="008F0399"/>
    <w:rsid w:val="008F046C"/>
    <w:rsid w:val="008F0A7A"/>
    <w:rsid w:val="008F17A4"/>
    <w:rsid w:val="008F2193"/>
    <w:rsid w:val="008F2731"/>
    <w:rsid w:val="008F354E"/>
    <w:rsid w:val="008F3C6A"/>
    <w:rsid w:val="008F4C00"/>
    <w:rsid w:val="008F57DA"/>
    <w:rsid w:val="008F58AB"/>
    <w:rsid w:val="008F5E55"/>
    <w:rsid w:val="008F6CE6"/>
    <w:rsid w:val="009008B4"/>
    <w:rsid w:val="00900939"/>
    <w:rsid w:val="00901889"/>
    <w:rsid w:val="00901BC1"/>
    <w:rsid w:val="00901D63"/>
    <w:rsid w:val="00903AFD"/>
    <w:rsid w:val="00904EE3"/>
    <w:rsid w:val="0090543D"/>
    <w:rsid w:val="00907877"/>
    <w:rsid w:val="009104A2"/>
    <w:rsid w:val="009105B6"/>
    <w:rsid w:val="00910C52"/>
    <w:rsid w:val="00910C94"/>
    <w:rsid w:val="009110FA"/>
    <w:rsid w:val="009126CA"/>
    <w:rsid w:val="00913C33"/>
    <w:rsid w:val="00913FCB"/>
    <w:rsid w:val="009140B1"/>
    <w:rsid w:val="00914615"/>
    <w:rsid w:val="00914C8B"/>
    <w:rsid w:val="00914F41"/>
    <w:rsid w:val="00915AEE"/>
    <w:rsid w:val="0091644F"/>
    <w:rsid w:val="009164C2"/>
    <w:rsid w:val="00916B78"/>
    <w:rsid w:val="00917BF1"/>
    <w:rsid w:val="00917C34"/>
    <w:rsid w:val="00921180"/>
    <w:rsid w:val="00921D08"/>
    <w:rsid w:val="00922599"/>
    <w:rsid w:val="009235B2"/>
    <w:rsid w:val="00924130"/>
    <w:rsid w:val="00924C3B"/>
    <w:rsid w:val="00925030"/>
    <w:rsid w:val="0092542A"/>
    <w:rsid w:val="0092571D"/>
    <w:rsid w:val="00925834"/>
    <w:rsid w:val="00926EC3"/>
    <w:rsid w:val="00930E64"/>
    <w:rsid w:val="00931302"/>
    <w:rsid w:val="00931F9E"/>
    <w:rsid w:val="009322A6"/>
    <w:rsid w:val="009327B9"/>
    <w:rsid w:val="009339EB"/>
    <w:rsid w:val="00933E66"/>
    <w:rsid w:val="0093456E"/>
    <w:rsid w:val="00935547"/>
    <w:rsid w:val="00935956"/>
    <w:rsid w:val="00935AA9"/>
    <w:rsid w:val="00936A3F"/>
    <w:rsid w:val="0093731E"/>
    <w:rsid w:val="009374C0"/>
    <w:rsid w:val="00940BAA"/>
    <w:rsid w:val="0094190E"/>
    <w:rsid w:val="0094276F"/>
    <w:rsid w:val="00944373"/>
    <w:rsid w:val="00944845"/>
    <w:rsid w:val="00945E01"/>
    <w:rsid w:val="0094674F"/>
    <w:rsid w:val="0094711F"/>
    <w:rsid w:val="00947E80"/>
    <w:rsid w:val="009508E8"/>
    <w:rsid w:val="00950918"/>
    <w:rsid w:val="00950F49"/>
    <w:rsid w:val="009515B0"/>
    <w:rsid w:val="00951E4F"/>
    <w:rsid w:val="00952923"/>
    <w:rsid w:val="00953043"/>
    <w:rsid w:val="0095345D"/>
    <w:rsid w:val="00954634"/>
    <w:rsid w:val="00954F32"/>
    <w:rsid w:val="00954F73"/>
    <w:rsid w:val="00955038"/>
    <w:rsid w:val="009556E8"/>
    <w:rsid w:val="00955E4F"/>
    <w:rsid w:val="00955F99"/>
    <w:rsid w:val="009577C2"/>
    <w:rsid w:val="0096040E"/>
    <w:rsid w:val="00960C8D"/>
    <w:rsid w:val="00964998"/>
    <w:rsid w:val="00964EDE"/>
    <w:rsid w:val="00965A71"/>
    <w:rsid w:val="00965FFD"/>
    <w:rsid w:val="009661D3"/>
    <w:rsid w:val="0096664A"/>
    <w:rsid w:val="009670D7"/>
    <w:rsid w:val="00967D14"/>
    <w:rsid w:val="00970FCF"/>
    <w:rsid w:val="009715FA"/>
    <w:rsid w:val="00971A80"/>
    <w:rsid w:val="00971BC0"/>
    <w:rsid w:val="00971F64"/>
    <w:rsid w:val="00972004"/>
    <w:rsid w:val="00972EE2"/>
    <w:rsid w:val="00973CB7"/>
    <w:rsid w:val="00973E92"/>
    <w:rsid w:val="00974A27"/>
    <w:rsid w:val="00974C89"/>
    <w:rsid w:val="00975D8B"/>
    <w:rsid w:val="0098112B"/>
    <w:rsid w:val="00981216"/>
    <w:rsid w:val="00981246"/>
    <w:rsid w:val="009823A9"/>
    <w:rsid w:val="009836CD"/>
    <w:rsid w:val="00983748"/>
    <w:rsid w:val="00984803"/>
    <w:rsid w:val="00984DAB"/>
    <w:rsid w:val="0098521B"/>
    <w:rsid w:val="009866E7"/>
    <w:rsid w:val="0098767C"/>
    <w:rsid w:val="009906C9"/>
    <w:rsid w:val="009914B8"/>
    <w:rsid w:val="00991752"/>
    <w:rsid w:val="00991776"/>
    <w:rsid w:val="00991BF6"/>
    <w:rsid w:val="00991C5D"/>
    <w:rsid w:val="00993794"/>
    <w:rsid w:val="00993A2F"/>
    <w:rsid w:val="00993B02"/>
    <w:rsid w:val="00993B79"/>
    <w:rsid w:val="009946A4"/>
    <w:rsid w:val="009949AD"/>
    <w:rsid w:val="00995BD5"/>
    <w:rsid w:val="00996564"/>
    <w:rsid w:val="00996695"/>
    <w:rsid w:val="00996AE2"/>
    <w:rsid w:val="0099734F"/>
    <w:rsid w:val="00997434"/>
    <w:rsid w:val="009977CD"/>
    <w:rsid w:val="009A06BF"/>
    <w:rsid w:val="009A15C8"/>
    <w:rsid w:val="009A16D9"/>
    <w:rsid w:val="009A1CAC"/>
    <w:rsid w:val="009A1D1E"/>
    <w:rsid w:val="009A1FE9"/>
    <w:rsid w:val="009A2FC4"/>
    <w:rsid w:val="009A374B"/>
    <w:rsid w:val="009A3BFC"/>
    <w:rsid w:val="009A4FA6"/>
    <w:rsid w:val="009A55C9"/>
    <w:rsid w:val="009A70BE"/>
    <w:rsid w:val="009A7F3D"/>
    <w:rsid w:val="009A7FA3"/>
    <w:rsid w:val="009B17C9"/>
    <w:rsid w:val="009B2343"/>
    <w:rsid w:val="009B2AEE"/>
    <w:rsid w:val="009B2E87"/>
    <w:rsid w:val="009B3918"/>
    <w:rsid w:val="009B3BB3"/>
    <w:rsid w:val="009B433E"/>
    <w:rsid w:val="009B44E3"/>
    <w:rsid w:val="009B4D83"/>
    <w:rsid w:val="009B5579"/>
    <w:rsid w:val="009B697F"/>
    <w:rsid w:val="009B7BF0"/>
    <w:rsid w:val="009B7E57"/>
    <w:rsid w:val="009C026F"/>
    <w:rsid w:val="009C20AD"/>
    <w:rsid w:val="009C3ADC"/>
    <w:rsid w:val="009C44BB"/>
    <w:rsid w:val="009C45ED"/>
    <w:rsid w:val="009C4C40"/>
    <w:rsid w:val="009C60F6"/>
    <w:rsid w:val="009C6664"/>
    <w:rsid w:val="009C7414"/>
    <w:rsid w:val="009D057C"/>
    <w:rsid w:val="009D0B3D"/>
    <w:rsid w:val="009D0BB9"/>
    <w:rsid w:val="009D111A"/>
    <w:rsid w:val="009D1FE4"/>
    <w:rsid w:val="009D23CC"/>
    <w:rsid w:val="009D36A2"/>
    <w:rsid w:val="009D37C3"/>
    <w:rsid w:val="009D3D99"/>
    <w:rsid w:val="009D3E81"/>
    <w:rsid w:val="009D5153"/>
    <w:rsid w:val="009D5A04"/>
    <w:rsid w:val="009D699D"/>
    <w:rsid w:val="009D6E61"/>
    <w:rsid w:val="009E02CF"/>
    <w:rsid w:val="009E2454"/>
    <w:rsid w:val="009E2801"/>
    <w:rsid w:val="009E2E3D"/>
    <w:rsid w:val="009E3566"/>
    <w:rsid w:val="009E44D0"/>
    <w:rsid w:val="009E46EC"/>
    <w:rsid w:val="009E501B"/>
    <w:rsid w:val="009E5A53"/>
    <w:rsid w:val="009E5DE7"/>
    <w:rsid w:val="009E665B"/>
    <w:rsid w:val="009E7589"/>
    <w:rsid w:val="009E7C89"/>
    <w:rsid w:val="009F00A0"/>
    <w:rsid w:val="009F0726"/>
    <w:rsid w:val="009F0F6B"/>
    <w:rsid w:val="009F115D"/>
    <w:rsid w:val="009F1B25"/>
    <w:rsid w:val="009F2156"/>
    <w:rsid w:val="009F2548"/>
    <w:rsid w:val="009F2713"/>
    <w:rsid w:val="009F4226"/>
    <w:rsid w:val="009F4B20"/>
    <w:rsid w:val="009F4E7D"/>
    <w:rsid w:val="009F5711"/>
    <w:rsid w:val="009F63BB"/>
    <w:rsid w:val="009F69D9"/>
    <w:rsid w:val="009F6DFE"/>
    <w:rsid w:val="009F6E96"/>
    <w:rsid w:val="009F70F7"/>
    <w:rsid w:val="009F7559"/>
    <w:rsid w:val="009F7D04"/>
    <w:rsid w:val="009F7F51"/>
    <w:rsid w:val="00A00A61"/>
    <w:rsid w:val="00A00EF4"/>
    <w:rsid w:val="00A03D9B"/>
    <w:rsid w:val="00A052F8"/>
    <w:rsid w:val="00A0594A"/>
    <w:rsid w:val="00A0612A"/>
    <w:rsid w:val="00A11359"/>
    <w:rsid w:val="00A11721"/>
    <w:rsid w:val="00A11DB3"/>
    <w:rsid w:val="00A139EC"/>
    <w:rsid w:val="00A13BE7"/>
    <w:rsid w:val="00A140A1"/>
    <w:rsid w:val="00A15751"/>
    <w:rsid w:val="00A161F8"/>
    <w:rsid w:val="00A16CE9"/>
    <w:rsid w:val="00A16D60"/>
    <w:rsid w:val="00A16E53"/>
    <w:rsid w:val="00A17058"/>
    <w:rsid w:val="00A1772E"/>
    <w:rsid w:val="00A17A01"/>
    <w:rsid w:val="00A17A8D"/>
    <w:rsid w:val="00A17B3F"/>
    <w:rsid w:val="00A20DD4"/>
    <w:rsid w:val="00A21AA3"/>
    <w:rsid w:val="00A2294B"/>
    <w:rsid w:val="00A23740"/>
    <w:rsid w:val="00A23B2A"/>
    <w:rsid w:val="00A24269"/>
    <w:rsid w:val="00A24B62"/>
    <w:rsid w:val="00A261C0"/>
    <w:rsid w:val="00A26A14"/>
    <w:rsid w:val="00A2701A"/>
    <w:rsid w:val="00A27472"/>
    <w:rsid w:val="00A27691"/>
    <w:rsid w:val="00A2775F"/>
    <w:rsid w:val="00A30994"/>
    <w:rsid w:val="00A3139E"/>
    <w:rsid w:val="00A316B5"/>
    <w:rsid w:val="00A321A4"/>
    <w:rsid w:val="00A32E28"/>
    <w:rsid w:val="00A343E1"/>
    <w:rsid w:val="00A35A01"/>
    <w:rsid w:val="00A368A2"/>
    <w:rsid w:val="00A36EF1"/>
    <w:rsid w:val="00A37BE1"/>
    <w:rsid w:val="00A41FC4"/>
    <w:rsid w:val="00A41FF3"/>
    <w:rsid w:val="00A4203C"/>
    <w:rsid w:val="00A4261B"/>
    <w:rsid w:val="00A43056"/>
    <w:rsid w:val="00A4330A"/>
    <w:rsid w:val="00A43664"/>
    <w:rsid w:val="00A43C32"/>
    <w:rsid w:val="00A44401"/>
    <w:rsid w:val="00A445B4"/>
    <w:rsid w:val="00A4476F"/>
    <w:rsid w:val="00A44AD2"/>
    <w:rsid w:val="00A44CFD"/>
    <w:rsid w:val="00A46203"/>
    <w:rsid w:val="00A46606"/>
    <w:rsid w:val="00A46AC2"/>
    <w:rsid w:val="00A473BE"/>
    <w:rsid w:val="00A47AB3"/>
    <w:rsid w:val="00A50231"/>
    <w:rsid w:val="00A51022"/>
    <w:rsid w:val="00A51E13"/>
    <w:rsid w:val="00A51F26"/>
    <w:rsid w:val="00A5205C"/>
    <w:rsid w:val="00A52D81"/>
    <w:rsid w:val="00A5309B"/>
    <w:rsid w:val="00A53851"/>
    <w:rsid w:val="00A53DE5"/>
    <w:rsid w:val="00A5442C"/>
    <w:rsid w:val="00A54B39"/>
    <w:rsid w:val="00A54D3A"/>
    <w:rsid w:val="00A55649"/>
    <w:rsid w:val="00A5586A"/>
    <w:rsid w:val="00A566CB"/>
    <w:rsid w:val="00A6070B"/>
    <w:rsid w:val="00A61141"/>
    <w:rsid w:val="00A61C6D"/>
    <w:rsid w:val="00A62A2D"/>
    <w:rsid w:val="00A631CB"/>
    <w:rsid w:val="00A63307"/>
    <w:rsid w:val="00A63459"/>
    <w:rsid w:val="00A6361D"/>
    <w:rsid w:val="00A638F7"/>
    <w:rsid w:val="00A63D71"/>
    <w:rsid w:val="00A655F3"/>
    <w:rsid w:val="00A65615"/>
    <w:rsid w:val="00A65C13"/>
    <w:rsid w:val="00A66224"/>
    <w:rsid w:val="00A67222"/>
    <w:rsid w:val="00A70653"/>
    <w:rsid w:val="00A721CD"/>
    <w:rsid w:val="00A72573"/>
    <w:rsid w:val="00A73498"/>
    <w:rsid w:val="00A73531"/>
    <w:rsid w:val="00A73A8D"/>
    <w:rsid w:val="00A73C6F"/>
    <w:rsid w:val="00A73CF2"/>
    <w:rsid w:val="00A74890"/>
    <w:rsid w:val="00A75240"/>
    <w:rsid w:val="00A757CE"/>
    <w:rsid w:val="00A757E9"/>
    <w:rsid w:val="00A75C04"/>
    <w:rsid w:val="00A7648C"/>
    <w:rsid w:val="00A769C5"/>
    <w:rsid w:val="00A779FC"/>
    <w:rsid w:val="00A8305F"/>
    <w:rsid w:val="00A8318D"/>
    <w:rsid w:val="00A846C1"/>
    <w:rsid w:val="00A8480B"/>
    <w:rsid w:val="00A85654"/>
    <w:rsid w:val="00A85BA7"/>
    <w:rsid w:val="00A86BDE"/>
    <w:rsid w:val="00A8713C"/>
    <w:rsid w:val="00A90A8C"/>
    <w:rsid w:val="00A90A9E"/>
    <w:rsid w:val="00A90D54"/>
    <w:rsid w:val="00A90DE2"/>
    <w:rsid w:val="00A912C9"/>
    <w:rsid w:val="00A91DEF"/>
    <w:rsid w:val="00A92C5D"/>
    <w:rsid w:val="00A930C5"/>
    <w:rsid w:val="00A93EAF"/>
    <w:rsid w:val="00A93FEE"/>
    <w:rsid w:val="00A941BC"/>
    <w:rsid w:val="00A945CD"/>
    <w:rsid w:val="00A94706"/>
    <w:rsid w:val="00A96320"/>
    <w:rsid w:val="00A96B2C"/>
    <w:rsid w:val="00AA07ED"/>
    <w:rsid w:val="00AA1119"/>
    <w:rsid w:val="00AA18DA"/>
    <w:rsid w:val="00AA19CC"/>
    <w:rsid w:val="00AA1D79"/>
    <w:rsid w:val="00AA25CC"/>
    <w:rsid w:val="00AA273D"/>
    <w:rsid w:val="00AA3026"/>
    <w:rsid w:val="00AA3124"/>
    <w:rsid w:val="00AA5053"/>
    <w:rsid w:val="00AA5BAD"/>
    <w:rsid w:val="00AA5FAF"/>
    <w:rsid w:val="00AB2319"/>
    <w:rsid w:val="00AB253E"/>
    <w:rsid w:val="00AB2C87"/>
    <w:rsid w:val="00AB3176"/>
    <w:rsid w:val="00AB32E5"/>
    <w:rsid w:val="00AB3911"/>
    <w:rsid w:val="00AB59C4"/>
    <w:rsid w:val="00AB71A2"/>
    <w:rsid w:val="00AB729D"/>
    <w:rsid w:val="00AB79A3"/>
    <w:rsid w:val="00AB7FF6"/>
    <w:rsid w:val="00AC0B78"/>
    <w:rsid w:val="00AC113B"/>
    <w:rsid w:val="00AC1247"/>
    <w:rsid w:val="00AC1341"/>
    <w:rsid w:val="00AC13D8"/>
    <w:rsid w:val="00AC1F61"/>
    <w:rsid w:val="00AC2B71"/>
    <w:rsid w:val="00AC31A0"/>
    <w:rsid w:val="00AC333C"/>
    <w:rsid w:val="00AC3374"/>
    <w:rsid w:val="00AC47D6"/>
    <w:rsid w:val="00AC4A4D"/>
    <w:rsid w:val="00AC5685"/>
    <w:rsid w:val="00AC6792"/>
    <w:rsid w:val="00AC6D9C"/>
    <w:rsid w:val="00AD03E4"/>
    <w:rsid w:val="00AD0446"/>
    <w:rsid w:val="00AD0F78"/>
    <w:rsid w:val="00AD1713"/>
    <w:rsid w:val="00AD2467"/>
    <w:rsid w:val="00AD278A"/>
    <w:rsid w:val="00AD2CF8"/>
    <w:rsid w:val="00AD2D13"/>
    <w:rsid w:val="00AD3C09"/>
    <w:rsid w:val="00AD4C84"/>
    <w:rsid w:val="00AD7256"/>
    <w:rsid w:val="00AD79CE"/>
    <w:rsid w:val="00AD7B6A"/>
    <w:rsid w:val="00AE02BC"/>
    <w:rsid w:val="00AE16A8"/>
    <w:rsid w:val="00AE1B2D"/>
    <w:rsid w:val="00AE1DBC"/>
    <w:rsid w:val="00AE221A"/>
    <w:rsid w:val="00AE2BBA"/>
    <w:rsid w:val="00AE326D"/>
    <w:rsid w:val="00AE3308"/>
    <w:rsid w:val="00AE448D"/>
    <w:rsid w:val="00AE5180"/>
    <w:rsid w:val="00AE5DC5"/>
    <w:rsid w:val="00AE73BE"/>
    <w:rsid w:val="00AE75DC"/>
    <w:rsid w:val="00AE75F0"/>
    <w:rsid w:val="00AE77FA"/>
    <w:rsid w:val="00AE7F31"/>
    <w:rsid w:val="00AF0E81"/>
    <w:rsid w:val="00AF1170"/>
    <w:rsid w:val="00AF1A19"/>
    <w:rsid w:val="00AF2176"/>
    <w:rsid w:val="00AF21F6"/>
    <w:rsid w:val="00AF3B59"/>
    <w:rsid w:val="00AF46DC"/>
    <w:rsid w:val="00AF479C"/>
    <w:rsid w:val="00AF4E27"/>
    <w:rsid w:val="00AF5028"/>
    <w:rsid w:val="00AF653A"/>
    <w:rsid w:val="00AF6915"/>
    <w:rsid w:val="00AF6C8F"/>
    <w:rsid w:val="00AF7528"/>
    <w:rsid w:val="00AF7681"/>
    <w:rsid w:val="00B00357"/>
    <w:rsid w:val="00B005F3"/>
    <w:rsid w:val="00B0146F"/>
    <w:rsid w:val="00B01C30"/>
    <w:rsid w:val="00B01FC3"/>
    <w:rsid w:val="00B028FC"/>
    <w:rsid w:val="00B03B92"/>
    <w:rsid w:val="00B04289"/>
    <w:rsid w:val="00B045C1"/>
    <w:rsid w:val="00B048F4"/>
    <w:rsid w:val="00B04D49"/>
    <w:rsid w:val="00B04DFF"/>
    <w:rsid w:val="00B0532D"/>
    <w:rsid w:val="00B0569A"/>
    <w:rsid w:val="00B0613D"/>
    <w:rsid w:val="00B06EA4"/>
    <w:rsid w:val="00B07519"/>
    <w:rsid w:val="00B1035B"/>
    <w:rsid w:val="00B11314"/>
    <w:rsid w:val="00B1168B"/>
    <w:rsid w:val="00B1180F"/>
    <w:rsid w:val="00B1219C"/>
    <w:rsid w:val="00B129FE"/>
    <w:rsid w:val="00B12B62"/>
    <w:rsid w:val="00B133FB"/>
    <w:rsid w:val="00B13655"/>
    <w:rsid w:val="00B1383F"/>
    <w:rsid w:val="00B138F8"/>
    <w:rsid w:val="00B139C9"/>
    <w:rsid w:val="00B14D5C"/>
    <w:rsid w:val="00B1685F"/>
    <w:rsid w:val="00B215B4"/>
    <w:rsid w:val="00B21733"/>
    <w:rsid w:val="00B21BC6"/>
    <w:rsid w:val="00B22171"/>
    <w:rsid w:val="00B23554"/>
    <w:rsid w:val="00B237D3"/>
    <w:rsid w:val="00B23B96"/>
    <w:rsid w:val="00B245C7"/>
    <w:rsid w:val="00B2630A"/>
    <w:rsid w:val="00B26347"/>
    <w:rsid w:val="00B2681F"/>
    <w:rsid w:val="00B2760D"/>
    <w:rsid w:val="00B3104E"/>
    <w:rsid w:val="00B318FD"/>
    <w:rsid w:val="00B31B58"/>
    <w:rsid w:val="00B32687"/>
    <w:rsid w:val="00B32ACA"/>
    <w:rsid w:val="00B33F29"/>
    <w:rsid w:val="00B3455D"/>
    <w:rsid w:val="00B34620"/>
    <w:rsid w:val="00B34C4D"/>
    <w:rsid w:val="00B35805"/>
    <w:rsid w:val="00B35A2A"/>
    <w:rsid w:val="00B36990"/>
    <w:rsid w:val="00B376D9"/>
    <w:rsid w:val="00B40366"/>
    <w:rsid w:val="00B40570"/>
    <w:rsid w:val="00B40F94"/>
    <w:rsid w:val="00B40FA0"/>
    <w:rsid w:val="00B415ED"/>
    <w:rsid w:val="00B417B2"/>
    <w:rsid w:val="00B417BD"/>
    <w:rsid w:val="00B42FBE"/>
    <w:rsid w:val="00B433BC"/>
    <w:rsid w:val="00B43731"/>
    <w:rsid w:val="00B4391E"/>
    <w:rsid w:val="00B43BFB"/>
    <w:rsid w:val="00B43EC2"/>
    <w:rsid w:val="00B44161"/>
    <w:rsid w:val="00B443F8"/>
    <w:rsid w:val="00B448A9"/>
    <w:rsid w:val="00B4524F"/>
    <w:rsid w:val="00B46142"/>
    <w:rsid w:val="00B47F1A"/>
    <w:rsid w:val="00B515EE"/>
    <w:rsid w:val="00B51983"/>
    <w:rsid w:val="00B51E31"/>
    <w:rsid w:val="00B52308"/>
    <w:rsid w:val="00B526AE"/>
    <w:rsid w:val="00B52BB2"/>
    <w:rsid w:val="00B53980"/>
    <w:rsid w:val="00B53ED2"/>
    <w:rsid w:val="00B551F0"/>
    <w:rsid w:val="00B576DF"/>
    <w:rsid w:val="00B60376"/>
    <w:rsid w:val="00B603D3"/>
    <w:rsid w:val="00B612AD"/>
    <w:rsid w:val="00B62E3C"/>
    <w:rsid w:val="00B62E80"/>
    <w:rsid w:val="00B6368E"/>
    <w:rsid w:val="00B636BB"/>
    <w:rsid w:val="00B64BA2"/>
    <w:rsid w:val="00B6622C"/>
    <w:rsid w:val="00B6660D"/>
    <w:rsid w:val="00B66617"/>
    <w:rsid w:val="00B666E1"/>
    <w:rsid w:val="00B667DD"/>
    <w:rsid w:val="00B66970"/>
    <w:rsid w:val="00B67086"/>
    <w:rsid w:val="00B678AB"/>
    <w:rsid w:val="00B67B24"/>
    <w:rsid w:val="00B7032C"/>
    <w:rsid w:val="00B706A3"/>
    <w:rsid w:val="00B719D0"/>
    <w:rsid w:val="00B71D50"/>
    <w:rsid w:val="00B72261"/>
    <w:rsid w:val="00B74E70"/>
    <w:rsid w:val="00B75DB5"/>
    <w:rsid w:val="00B8092D"/>
    <w:rsid w:val="00B80BE0"/>
    <w:rsid w:val="00B814E0"/>
    <w:rsid w:val="00B81806"/>
    <w:rsid w:val="00B82345"/>
    <w:rsid w:val="00B82F77"/>
    <w:rsid w:val="00B83009"/>
    <w:rsid w:val="00B830D9"/>
    <w:rsid w:val="00B8324C"/>
    <w:rsid w:val="00B84777"/>
    <w:rsid w:val="00B84C7A"/>
    <w:rsid w:val="00B851FE"/>
    <w:rsid w:val="00B859CA"/>
    <w:rsid w:val="00B86BEC"/>
    <w:rsid w:val="00B8770E"/>
    <w:rsid w:val="00B87C65"/>
    <w:rsid w:val="00B87D00"/>
    <w:rsid w:val="00B9039D"/>
    <w:rsid w:val="00B9177C"/>
    <w:rsid w:val="00B91D74"/>
    <w:rsid w:val="00B92846"/>
    <w:rsid w:val="00B92973"/>
    <w:rsid w:val="00B936FB"/>
    <w:rsid w:val="00B94473"/>
    <w:rsid w:val="00B9484F"/>
    <w:rsid w:val="00B95110"/>
    <w:rsid w:val="00B955BD"/>
    <w:rsid w:val="00B95CCE"/>
    <w:rsid w:val="00B966C8"/>
    <w:rsid w:val="00B967AA"/>
    <w:rsid w:val="00B96B4C"/>
    <w:rsid w:val="00B972E4"/>
    <w:rsid w:val="00B9741A"/>
    <w:rsid w:val="00BA03EF"/>
    <w:rsid w:val="00BA07BF"/>
    <w:rsid w:val="00BA266E"/>
    <w:rsid w:val="00BA2AC4"/>
    <w:rsid w:val="00BA3406"/>
    <w:rsid w:val="00BA4F98"/>
    <w:rsid w:val="00BA5BCA"/>
    <w:rsid w:val="00BA6C30"/>
    <w:rsid w:val="00BB0B3F"/>
    <w:rsid w:val="00BB0C0D"/>
    <w:rsid w:val="00BB1240"/>
    <w:rsid w:val="00BB1419"/>
    <w:rsid w:val="00BB1B83"/>
    <w:rsid w:val="00BB200C"/>
    <w:rsid w:val="00BB2072"/>
    <w:rsid w:val="00BB24F1"/>
    <w:rsid w:val="00BB289E"/>
    <w:rsid w:val="00BB3820"/>
    <w:rsid w:val="00BB39D3"/>
    <w:rsid w:val="00BB3BD2"/>
    <w:rsid w:val="00BB4931"/>
    <w:rsid w:val="00BB51EF"/>
    <w:rsid w:val="00BB7FF9"/>
    <w:rsid w:val="00BC0E5F"/>
    <w:rsid w:val="00BC0EEE"/>
    <w:rsid w:val="00BC0FD4"/>
    <w:rsid w:val="00BC155C"/>
    <w:rsid w:val="00BC1EC9"/>
    <w:rsid w:val="00BC26D7"/>
    <w:rsid w:val="00BC2C9E"/>
    <w:rsid w:val="00BC3AB0"/>
    <w:rsid w:val="00BC3BBF"/>
    <w:rsid w:val="00BC4922"/>
    <w:rsid w:val="00BC5934"/>
    <w:rsid w:val="00BC5F64"/>
    <w:rsid w:val="00BC6417"/>
    <w:rsid w:val="00BC6A36"/>
    <w:rsid w:val="00BC738C"/>
    <w:rsid w:val="00BC7504"/>
    <w:rsid w:val="00BC7FA7"/>
    <w:rsid w:val="00BD00B0"/>
    <w:rsid w:val="00BD2364"/>
    <w:rsid w:val="00BD2B11"/>
    <w:rsid w:val="00BD60C5"/>
    <w:rsid w:val="00BD6E36"/>
    <w:rsid w:val="00BD7A20"/>
    <w:rsid w:val="00BE02EB"/>
    <w:rsid w:val="00BE070D"/>
    <w:rsid w:val="00BE0786"/>
    <w:rsid w:val="00BE0AD3"/>
    <w:rsid w:val="00BE2359"/>
    <w:rsid w:val="00BE24FA"/>
    <w:rsid w:val="00BE2727"/>
    <w:rsid w:val="00BE2F20"/>
    <w:rsid w:val="00BE3017"/>
    <w:rsid w:val="00BE30D0"/>
    <w:rsid w:val="00BE38D3"/>
    <w:rsid w:val="00BE491A"/>
    <w:rsid w:val="00BE4D2F"/>
    <w:rsid w:val="00BE5272"/>
    <w:rsid w:val="00BE5584"/>
    <w:rsid w:val="00BE5B86"/>
    <w:rsid w:val="00BE6A72"/>
    <w:rsid w:val="00BE6F71"/>
    <w:rsid w:val="00BE735C"/>
    <w:rsid w:val="00BF011B"/>
    <w:rsid w:val="00BF0401"/>
    <w:rsid w:val="00BF04C4"/>
    <w:rsid w:val="00BF0AFA"/>
    <w:rsid w:val="00BF0FE0"/>
    <w:rsid w:val="00BF11AB"/>
    <w:rsid w:val="00BF142C"/>
    <w:rsid w:val="00BF1559"/>
    <w:rsid w:val="00BF18AE"/>
    <w:rsid w:val="00BF1AD6"/>
    <w:rsid w:val="00BF205A"/>
    <w:rsid w:val="00BF4908"/>
    <w:rsid w:val="00BF4B3E"/>
    <w:rsid w:val="00BF7022"/>
    <w:rsid w:val="00BF769D"/>
    <w:rsid w:val="00BF7FEF"/>
    <w:rsid w:val="00C0076B"/>
    <w:rsid w:val="00C008C9"/>
    <w:rsid w:val="00C01051"/>
    <w:rsid w:val="00C0242A"/>
    <w:rsid w:val="00C0380F"/>
    <w:rsid w:val="00C04E20"/>
    <w:rsid w:val="00C04F06"/>
    <w:rsid w:val="00C055A4"/>
    <w:rsid w:val="00C05A3F"/>
    <w:rsid w:val="00C06063"/>
    <w:rsid w:val="00C0679D"/>
    <w:rsid w:val="00C06E93"/>
    <w:rsid w:val="00C077BE"/>
    <w:rsid w:val="00C0780C"/>
    <w:rsid w:val="00C109CC"/>
    <w:rsid w:val="00C10C4F"/>
    <w:rsid w:val="00C11084"/>
    <w:rsid w:val="00C1189B"/>
    <w:rsid w:val="00C11F76"/>
    <w:rsid w:val="00C120E8"/>
    <w:rsid w:val="00C1235B"/>
    <w:rsid w:val="00C127E6"/>
    <w:rsid w:val="00C131E7"/>
    <w:rsid w:val="00C14DC6"/>
    <w:rsid w:val="00C151B6"/>
    <w:rsid w:val="00C15B31"/>
    <w:rsid w:val="00C15FD6"/>
    <w:rsid w:val="00C164AA"/>
    <w:rsid w:val="00C16638"/>
    <w:rsid w:val="00C22A31"/>
    <w:rsid w:val="00C24024"/>
    <w:rsid w:val="00C245E4"/>
    <w:rsid w:val="00C266F4"/>
    <w:rsid w:val="00C26A7E"/>
    <w:rsid w:val="00C27083"/>
    <w:rsid w:val="00C27F78"/>
    <w:rsid w:val="00C3019B"/>
    <w:rsid w:val="00C30787"/>
    <w:rsid w:val="00C30C18"/>
    <w:rsid w:val="00C31E26"/>
    <w:rsid w:val="00C342B5"/>
    <w:rsid w:val="00C346EE"/>
    <w:rsid w:val="00C34AD8"/>
    <w:rsid w:val="00C34F69"/>
    <w:rsid w:val="00C35185"/>
    <w:rsid w:val="00C35399"/>
    <w:rsid w:val="00C354D5"/>
    <w:rsid w:val="00C35998"/>
    <w:rsid w:val="00C35BE7"/>
    <w:rsid w:val="00C360EB"/>
    <w:rsid w:val="00C362EC"/>
    <w:rsid w:val="00C369A4"/>
    <w:rsid w:val="00C36ED3"/>
    <w:rsid w:val="00C37EF9"/>
    <w:rsid w:val="00C4012A"/>
    <w:rsid w:val="00C41211"/>
    <w:rsid w:val="00C413D7"/>
    <w:rsid w:val="00C416D5"/>
    <w:rsid w:val="00C42BAA"/>
    <w:rsid w:val="00C4428D"/>
    <w:rsid w:val="00C44C12"/>
    <w:rsid w:val="00C44ECF"/>
    <w:rsid w:val="00C4684C"/>
    <w:rsid w:val="00C471DA"/>
    <w:rsid w:val="00C47274"/>
    <w:rsid w:val="00C5126C"/>
    <w:rsid w:val="00C513DC"/>
    <w:rsid w:val="00C52004"/>
    <w:rsid w:val="00C523D5"/>
    <w:rsid w:val="00C525D5"/>
    <w:rsid w:val="00C52761"/>
    <w:rsid w:val="00C52C54"/>
    <w:rsid w:val="00C53B67"/>
    <w:rsid w:val="00C5453B"/>
    <w:rsid w:val="00C54FB1"/>
    <w:rsid w:val="00C555D7"/>
    <w:rsid w:val="00C55C6E"/>
    <w:rsid w:val="00C60467"/>
    <w:rsid w:val="00C609D4"/>
    <w:rsid w:val="00C61588"/>
    <w:rsid w:val="00C61D4F"/>
    <w:rsid w:val="00C62C6D"/>
    <w:rsid w:val="00C6407D"/>
    <w:rsid w:val="00C66C34"/>
    <w:rsid w:val="00C66CFD"/>
    <w:rsid w:val="00C678FE"/>
    <w:rsid w:val="00C67C86"/>
    <w:rsid w:val="00C67E02"/>
    <w:rsid w:val="00C70073"/>
    <w:rsid w:val="00C71017"/>
    <w:rsid w:val="00C71318"/>
    <w:rsid w:val="00C715C1"/>
    <w:rsid w:val="00C7172E"/>
    <w:rsid w:val="00C72561"/>
    <w:rsid w:val="00C728A4"/>
    <w:rsid w:val="00C739BE"/>
    <w:rsid w:val="00C73A11"/>
    <w:rsid w:val="00C73B2B"/>
    <w:rsid w:val="00C73B45"/>
    <w:rsid w:val="00C740AE"/>
    <w:rsid w:val="00C764CD"/>
    <w:rsid w:val="00C76B22"/>
    <w:rsid w:val="00C77016"/>
    <w:rsid w:val="00C7777F"/>
    <w:rsid w:val="00C77977"/>
    <w:rsid w:val="00C779EF"/>
    <w:rsid w:val="00C81A56"/>
    <w:rsid w:val="00C822B2"/>
    <w:rsid w:val="00C82590"/>
    <w:rsid w:val="00C8446F"/>
    <w:rsid w:val="00C84688"/>
    <w:rsid w:val="00C85579"/>
    <w:rsid w:val="00C86F90"/>
    <w:rsid w:val="00C87799"/>
    <w:rsid w:val="00C90E5D"/>
    <w:rsid w:val="00C9145B"/>
    <w:rsid w:val="00C92D40"/>
    <w:rsid w:val="00C9316A"/>
    <w:rsid w:val="00C94938"/>
    <w:rsid w:val="00C950C4"/>
    <w:rsid w:val="00C9512A"/>
    <w:rsid w:val="00C95FF0"/>
    <w:rsid w:val="00C964F3"/>
    <w:rsid w:val="00C979FF"/>
    <w:rsid w:val="00C97FF3"/>
    <w:rsid w:val="00CA02A8"/>
    <w:rsid w:val="00CA0594"/>
    <w:rsid w:val="00CA095A"/>
    <w:rsid w:val="00CA16F3"/>
    <w:rsid w:val="00CA1F5A"/>
    <w:rsid w:val="00CA2A95"/>
    <w:rsid w:val="00CA2B33"/>
    <w:rsid w:val="00CA3328"/>
    <w:rsid w:val="00CA3D04"/>
    <w:rsid w:val="00CA3E1E"/>
    <w:rsid w:val="00CA3E2C"/>
    <w:rsid w:val="00CA4441"/>
    <w:rsid w:val="00CA498E"/>
    <w:rsid w:val="00CA4CB9"/>
    <w:rsid w:val="00CA53EF"/>
    <w:rsid w:val="00CA76C2"/>
    <w:rsid w:val="00CA7D49"/>
    <w:rsid w:val="00CB00F2"/>
    <w:rsid w:val="00CB0498"/>
    <w:rsid w:val="00CB0E34"/>
    <w:rsid w:val="00CB1233"/>
    <w:rsid w:val="00CB252B"/>
    <w:rsid w:val="00CB28DF"/>
    <w:rsid w:val="00CB2E01"/>
    <w:rsid w:val="00CB4A50"/>
    <w:rsid w:val="00CB5029"/>
    <w:rsid w:val="00CB5333"/>
    <w:rsid w:val="00CB54D2"/>
    <w:rsid w:val="00CB5995"/>
    <w:rsid w:val="00CB66CB"/>
    <w:rsid w:val="00CB6AC1"/>
    <w:rsid w:val="00CB78CE"/>
    <w:rsid w:val="00CB79B6"/>
    <w:rsid w:val="00CC18AA"/>
    <w:rsid w:val="00CC20AA"/>
    <w:rsid w:val="00CC2CA1"/>
    <w:rsid w:val="00CC354E"/>
    <w:rsid w:val="00CC468C"/>
    <w:rsid w:val="00CC48B5"/>
    <w:rsid w:val="00CC4F6D"/>
    <w:rsid w:val="00CC5178"/>
    <w:rsid w:val="00CC5A76"/>
    <w:rsid w:val="00CC6647"/>
    <w:rsid w:val="00CC7247"/>
    <w:rsid w:val="00CC78A6"/>
    <w:rsid w:val="00CD0C04"/>
    <w:rsid w:val="00CD0C91"/>
    <w:rsid w:val="00CD244C"/>
    <w:rsid w:val="00CD3088"/>
    <w:rsid w:val="00CD3861"/>
    <w:rsid w:val="00CD392D"/>
    <w:rsid w:val="00CD3DED"/>
    <w:rsid w:val="00CD4890"/>
    <w:rsid w:val="00CD557F"/>
    <w:rsid w:val="00CD664A"/>
    <w:rsid w:val="00CD67B9"/>
    <w:rsid w:val="00CD6E75"/>
    <w:rsid w:val="00CD710F"/>
    <w:rsid w:val="00CE045F"/>
    <w:rsid w:val="00CE10DE"/>
    <w:rsid w:val="00CE1AF0"/>
    <w:rsid w:val="00CE2944"/>
    <w:rsid w:val="00CE3879"/>
    <w:rsid w:val="00CE3BBD"/>
    <w:rsid w:val="00CE4E08"/>
    <w:rsid w:val="00CE4F47"/>
    <w:rsid w:val="00CE55B1"/>
    <w:rsid w:val="00CE5874"/>
    <w:rsid w:val="00CE58A2"/>
    <w:rsid w:val="00CE6C3D"/>
    <w:rsid w:val="00CE75DD"/>
    <w:rsid w:val="00CF0E88"/>
    <w:rsid w:val="00CF1437"/>
    <w:rsid w:val="00CF1698"/>
    <w:rsid w:val="00CF2043"/>
    <w:rsid w:val="00CF2209"/>
    <w:rsid w:val="00CF282F"/>
    <w:rsid w:val="00CF286B"/>
    <w:rsid w:val="00CF2931"/>
    <w:rsid w:val="00CF324F"/>
    <w:rsid w:val="00CF34CB"/>
    <w:rsid w:val="00CF3515"/>
    <w:rsid w:val="00CF399C"/>
    <w:rsid w:val="00CF496F"/>
    <w:rsid w:val="00CF606E"/>
    <w:rsid w:val="00CF642B"/>
    <w:rsid w:val="00CF65F8"/>
    <w:rsid w:val="00CF6BB2"/>
    <w:rsid w:val="00CF759C"/>
    <w:rsid w:val="00CF784A"/>
    <w:rsid w:val="00D00390"/>
    <w:rsid w:val="00D004DC"/>
    <w:rsid w:val="00D0176E"/>
    <w:rsid w:val="00D02C85"/>
    <w:rsid w:val="00D033D3"/>
    <w:rsid w:val="00D035C0"/>
    <w:rsid w:val="00D03F1A"/>
    <w:rsid w:val="00D040D1"/>
    <w:rsid w:val="00D04889"/>
    <w:rsid w:val="00D05565"/>
    <w:rsid w:val="00D056F8"/>
    <w:rsid w:val="00D06B5A"/>
    <w:rsid w:val="00D0723C"/>
    <w:rsid w:val="00D07AD8"/>
    <w:rsid w:val="00D10661"/>
    <w:rsid w:val="00D10A9C"/>
    <w:rsid w:val="00D10D54"/>
    <w:rsid w:val="00D10DE1"/>
    <w:rsid w:val="00D112F6"/>
    <w:rsid w:val="00D121A5"/>
    <w:rsid w:val="00D1241B"/>
    <w:rsid w:val="00D12D3E"/>
    <w:rsid w:val="00D13497"/>
    <w:rsid w:val="00D13505"/>
    <w:rsid w:val="00D13C36"/>
    <w:rsid w:val="00D1472B"/>
    <w:rsid w:val="00D15267"/>
    <w:rsid w:val="00D16A31"/>
    <w:rsid w:val="00D17084"/>
    <w:rsid w:val="00D17D7F"/>
    <w:rsid w:val="00D21304"/>
    <w:rsid w:val="00D2139A"/>
    <w:rsid w:val="00D2168E"/>
    <w:rsid w:val="00D22830"/>
    <w:rsid w:val="00D22E5A"/>
    <w:rsid w:val="00D23479"/>
    <w:rsid w:val="00D2584C"/>
    <w:rsid w:val="00D31430"/>
    <w:rsid w:val="00D31782"/>
    <w:rsid w:val="00D31D63"/>
    <w:rsid w:val="00D3288F"/>
    <w:rsid w:val="00D330BF"/>
    <w:rsid w:val="00D3310A"/>
    <w:rsid w:val="00D33928"/>
    <w:rsid w:val="00D3464B"/>
    <w:rsid w:val="00D35E2B"/>
    <w:rsid w:val="00D3735C"/>
    <w:rsid w:val="00D37F1F"/>
    <w:rsid w:val="00D40052"/>
    <w:rsid w:val="00D400B3"/>
    <w:rsid w:val="00D40656"/>
    <w:rsid w:val="00D40841"/>
    <w:rsid w:val="00D40F52"/>
    <w:rsid w:val="00D41078"/>
    <w:rsid w:val="00D41E74"/>
    <w:rsid w:val="00D41F3B"/>
    <w:rsid w:val="00D42319"/>
    <w:rsid w:val="00D423ED"/>
    <w:rsid w:val="00D4388C"/>
    <w:rsid w:val="00D43B8A"/>
    <w:rsid w:val="00D4413F"/>
    <w:rsid w:val="00D44BA6"/>
    <w:rsid w:val="00D44FAD"/>
    <w:rsid w:val="00D45C27"/>
    <w:rsid w:val="00D45D1D"/>
    <w:rsid w:val="00D4627C"/>
    <w:rsid w:val="00D464FD"/>
    <w:rsid w:val="00D46D1B"/>
    <w:rsid w:val="00D46E27"/>
    <w:rsid w:val="00D474D4"/>
    <w:rsid w:val="00D50306"/>
    <w:rsid w:val="00D50631"/>
    <w:rsid w:val="00D50D57"/>
    <w:rsid w:val="00D50EFA"/>
    <w:rsid w:val="00D52533"/>
    <w:rsid w:val="00D53760"/>
    <w:rsid w:val="00D538A3"/>
    <w:rsid w:val="00D53A80"/>
    <w:rsid w:val="00D53EE8"/>
    <w:rsid w:val="00D55285"/>
    <w:rsid w:val="00D5651F"/>
    <w:rsid w:val="00D568E8"/>
    <w:rsid w:val="00D57213"/>
    <w:rsid w:val="00D57718"/>
    <w:rsid w:val="00D57E4A"/>
    <w:rsid w:val="00D6032B"/>
    <w:rsid w:val="00D60515"/>
    <w:rsid w:val="00D61CC2"/>
    <w:rsid w:val="00D61D6C"/>
    <w:rsid w:val="00D62715"/>
    <w:rsid w:val="00D6313A"/>
    <w:rsid w:val="00D6440B"/>
    <w:rsid w:val="00D651E0"/>
    <w:rsid w:val="00D65432"/>
    <w:rsid w:val="00D660D9"/>
    <w:rsid w:val="00D66105"/>
    <w:rsid w:val="00D6642C"/>
    <w:rsid w:val="00D66FFE"/>
    <w:rsid w:val="00D671EB"/>
    <w:rsid w:val="00D674EB"/>
    <w:rsid w:val="00D700A1"/>
    <w:rsid w:val="00D71019"/>
    <w:rsid w:val="00D7186E"/>
    <w:rsid w:val="00D72BA7"/>
    <w:rsid w:val="00D73FA3"/>
    <w:rsid w:val="00D75124"/>
    <w:rsid w:val="00D75752"/>
    <w:rsid w:val="00D75A4C"/>
    <w:rsid w:val="00D7619E"/>
    <w:rsid w:val="00D76607"/>
    <w:rsid w:val="00D76CDC"/>
    <w:rsid w:val="00D7738A"/>
    <w:rsid w:val="00D801BC"/>
    <w:rsid w:val="00D805AD"/>
    <w:rsid w:val="00D81929"/>
    <w:rsid w:val="00D81FC5"/>
    <w:rsid w:val="00D83B1C"/>
    <w:rsid w:val="00D83C75"/>
    <w:rsid w:val="00D84165"/>
    <w:rsid w:val="00D846BF"/>
    <w:rsid w:val="00D856C3"/>
    <w:rsid w:val="00D859DB"/>
    <w:rsid w:val="00D85C85"/>
    <w:rsid w:val="00D869E2"/>
    <w:rsid w:val="00D86E63"/>
    <w:rsid w:val="00D87448"/>
    <w:rsid w:val="00D87B15"/>
    <w:rsid w:val="00D90D8D"/>
    <w:rsid w:val="00D91B77"/>
    <w:rsid w:val="00D91E30"/>
    <w:rsid w:val="00D92D90"/>
    <w:rsid w:val="00D93FBC"/>
    <w:rsid w:val="00D948B7"/>
    <w:rsid w:val="00D9532F"/>
    <w:rsid w:val="00D95FB9"/>
    <w:rsid w:val="00D96336"/>
    <w:rsid w:val="00D96DDD"/>
    <w:rsid w:val="00D97E4A"/>
    <w:rsid w:val="00DA16D8"/>
    <w:rsid w:val="00DA33B1"/>
    <w:rsid w:val="00DA39BD"/>
    <w:rsid w:val="00DA3D02"/>
    <w:rsid w:val="00DA4189"/>
    <w:rsid w:val="00DA476A"/>
    <w:rsid w:val="00DA5474"/>
    <w:rsid w:val="00DA5C8F"/>
    <w:rsid w:val="00DA5D7B"/>
    <w:rsid w:val="00DA6B05"/>
    <w:rsid w:val="00DA6E59"/>
    <w:rsid w:val="00DA7B37"/>
    <w:rsid w:val="00DA7FF0"/>
    <w:rsid w:val="00DB0048"/>
    <w:rsid w:val="00DB053A"/>
    <w:rsid w:val="00DB065C"/>
    <w:rsid w:val="00DB08C6"/>
    <w:rsid w:val="00DB2DDF"/>
    <w:rsid w:val="00DB3CFB"/>
    <w:rsid w:val="00DB3F3A"/>
    <w:rsid w:val="00DB4997"/>
    <w:rsid w:val="00DB5273"/>
    <w:rsid w:val="00DB5B5D"/>
    <w:rsid w:val="00DB5F14"/>
    <w:rsid w:val="00DB61BB"/>
    <w:rsid w:val="00DB6CB6"/>
    <w:rsid w:val="00DB7879"/>
    <w:rsid w:val="00DC007F"/>
    <w:rsid w:val="00DC0A4A"/>
    <w:rsid w:val="00DC0CD2"/>
    <w:rsid w:val="00DC126D"/>
    <w:rsid w:val="00DC1B0B"/>
    <w:rsid w:val="00DC1B5C"/>
    <w:rsid w:val="00DC1D04"/>
    <w:rsid w:val="00DC20B9"/>
    <w:rsid w:val="00DC2781"/>
    <w:rsid w:val="00DC3388"/>
    <w:rsid w:val="00DC3E3C"/>
    <w:rsid w:val="00DC4D6E"/>
    <w:rsid w:val="00DC5746"/>
    <w:rsid w:val="00DC58E8"/>
    <w:rsid w:val="00DC5BCC"/>
    <w:rsid w:val="00DC6403"/>
    <w:rsid w:val="00DC6BED"/>
    <w:rsid w:val="00DC7369"/>
    <w:rsid w:val="00DC7576"/>
    <w:rsid w:val="00DD0AB1"/>
    <w:rsid w:val="00DD1053"/>
    <w:rsid w:val="00DD1302"/>
    <w:rsid w:val="00DD160F"/>
    <w:rsid w:val="00DD2EEE"/>
    <w:rsid w:val="00DD3A80"/>
    <w:rsid w:val="00DD4287"/>
    <w:rsid w:val="00DD4CF9"/>
    <w:rsid w:val="00DD4D38"/>
    <w:rsid w:val="00DD5E36"/>
    <w:rsid w:val="00DD777D"/>
    <w:rsid w:val="00DE0F31"/>
    <w:rsid w:val="00DE1904"/>
    <w:rsid w:val="00DE2752"/>
    <w:rsid w:val="00DE2AFF"/>
    <w:rsid w:val="00DE2FBD"/>
    <w:rsid w:val="00DE3D54"/>
    <w:rsid w:val="00DE3DB4"/>
    <w:rsid w:val="00DE4343"/>
    <w:rsid w:val="00DE5B7D"/>
    <w:rsid w:val="00DE5FFC"/>
    <w:rsid w:val="00DE62F9"/>
    <w:rsid w:val="00DE6961"/>
    <w:rsid w:val="00DE6D3F"/>
    <w:rsid w:val="00DE734F"/>
    <w:rsid w:val="00DE78B3"/>
    <w:rsid w:val="00DE7C67"/>
    <w:rsid w:val="00DF120C"/>
    <w:rsid w:val="00DF1649"/>
    <w:rsid w:val="00DF2BAF"/>
    <w:rsid w:val="00DF3294"/>
    <w:rsid w:val="00DF3628"/>
    <w:rsid w:val="00DF3B7E"/>
    <w:rsid w:val="00DF3CFB"/>
    <w:rsid w:val="00DF4602"/>
    <w:rsid w:val="00DF46E5"/>
    <w:rsid w:val="00DF475D"/>
    <w:rsid w:val="00DF4B77"/>
    <w:rsid w:val="00DF53E5"/>
    <w:rsid w:val="00DF5486"/>
    <w:rsid w:val="00DF5D54"/>
    <w:rsid w:val="00DF7CC2"/>
    <w:rsid w:val="00E00EF6"/>
    <w:rsid w:val="00E01024"/>
    <w:rsid w:val="00E027E9"/>
    <w:rsid w:val="00E02A65"/>
    <w:rsid w:val="00E05A43"/>
    <w:rsid w:val="00E05B2E"/>
    <w:rsid w:val="00E102EC"/>
    <w:rsid w:val="00E11198"/>
    <w:rsid w:val="00E11BE6"/>
    <w:rsid w:val="00E123FA"/>
    <w:rsid w:val="00E12A53"/>
    <w:rsid w:val="00E12B1D"/>
    <w:rsid w:val="00E12E6C"/>
    <w:rsid w:val="00E12FBD"/>
    <w:rsid w:val="00E1301B"/>
    <w:rsid w:val="00E13273"/>
    <w:rsid w:val="00E147CF"/>
    <w:rsid w:val="00E1526D"/>
    <w:rsid w:val="00E15622"/>
    <w:rsid w:val="00E16570"/>
    <w:rsid w:val="00E21F74"/>
    <w:rsid w:val="00E223D3"/>
    <w:rsid w:val="00E228C3"/>
    <w:rsid w:val="00E22F7A"/>
    <w:rsid w:val="00E2348B"/>
    <w:rsid w:val="00E23D56"/>
    <w:rsid w:val="00E2418C"/>
    <w:rsid w:val="00E24435"/>
    <w:rsid w:val="00E24D66"/>
    <w:rsid w:val="00E24DFA"/>
    <w:rsid w:val="00E27358"/>
    <w:rsid w:val="00E31426"/>
    <w:rsid w:val="00E316FC"/>
    <w:rsid w:val="00E32987"/>
    <w:rsid w:val="00E32A39"/>
    <w:rsid w:val="00E34058"/>
    <w:rsid w:val="00E3420D"/>
    <w:rsid w:val="00E34253"/>
    <w:rsid w:val="00E354E8"/>
    <w:rsid w:val="00E3594F"/>
    <w:rsid w:val="00E4040D"/>
    <w:rsid w:val="00E4046C"/>
    <w:rsid w:val="00E4101C"/>
    <w:rsid w:val="00E414E8"/>
    <w:rsid w:val="00E41C50"/>
    <w:rsid w:val="00E42243"/>
    <w:rsid w:val="00E4397B"/>
    <w:rsid w:val="00E43C1E"/>
    <w:rsid w:val="00E43E8F"/>
    <w:rsid w:val="00E43F45"/>
    <w:rsid w:val="00E447F1"/>
    <w:rsid w:val="00E451E2"/>
    <w:rsid w:val="00E45824"/>
    <w:rsid w:val="00E45903"/>
    <w:rsid w:val="00E45CEE"/>
    <w:rsid w:val="00E45D69"/>
    <w:rsid w:val="00E46FA2"/>
    <w:rsid w:val="00E476C1"/>
    <w:rsid w:val="00E47F3C"/>
    <w:rsid w:val="00E50419"/>
    <w:rsid w:val="00E5070C"/>
    <w:rsid w:val="00E5072E"/>
    <w:rsid w:val="00E50949"/>
    <w:rsid w:val="00E5177A"/>
    <w:rsid w:val="00E51C34"/>
    <w:rsid w:val="00E51F0B"/>
    <w:rsid w:val="00E536FA"/>
    <w:rsid w:val="00E53A70"/>
    <w:rsid w:val="00E53ACE"/>
    <w:rsid w:val="00E54545"/>
    <w:rsid w:val="00E5609D"/>
    <w:rsid w:val="00E56716"/>
    <w:rsid w:val="00E56E2C"/>
    <w:rsid w:val="00E5774B"/>
    <w:rsid w:val="00E5796A"/>
    <w:rsid w:val="00E579C4"/>
    <w:rsid w:val="00E608BF"/>
    <w:rsid w:val="00E609D1"/>
    <w:rsid w:val="00E60F6A"/>
    <w:rsid w:val="00E611C7"/>
    <w:rsid w:val="00E612E7"/>
    <w:rsid w:val="00E6260A"/>
    <w:rsid w:val="00E62DB3"/>
    <w:rsid w:val="00E65520"/>
    <w:rsid w:val="00E6575F"/>
    <w:rsid w:val="00E65AE7"/>
    <w:rsid w:val="00E70237"/>
    <w:rsid w:val="00E715FA"/>
    <w:rsid w:val="00E7182F"/>
    <w:rsid w:val="00E718B4"/>
    <w:rsid w:val="00E71DA1"/>
    <w:rsid w:val="00E71ED1"/>
    <w:rsid w:val="00E72C63"/>
    <w:rsid w:val="00E73FCA"/>
    <w:rsid w:val="00E74048"/>
    <w:rsid w:val="00E7425E"/>
    <w:rsid w:val="00E74B55"/>
    <w:rsid w:val="00E75837"/>
    <w:rsid w:val="00E77536"/>
    <w:rsid w:val="00E77960"/>
    <w:rsid w:val="00E80E4E"/>
    <w:rsid w:val="00E8112B"/>
    <w:rsid w:val="00E817B6"/>
    <w:rsid w:val="00E82391"/>
    <w:rsid w:val="00E85809"/>
    <w:rsid w:val="00E85DF2"/>
    <w:rsid w:val="00E86AD1"/>
    <w:rsid w:val="00E87D2C"/>
    <w:rsid w:val="00E91998"/>
    <w:rsid w:val="00E91D94"/>
    <w:rsid w:val="00E9226E"/>
    <w:rsid w:val="00E95A5A"/>
    <w:rsid w:val="00E95AD8"/>
    <w:rsid w:val="00E95DE1"/>
    <w:rsid w:val="00E96638"/>
    <w:rsid w:val="00E96805"/>
    <w:rsid w:val="00E97048"/>
    <w:rsid w:val="00EA0529"/>
    <w:rsid w:val="00EA110B"/>
    <w:rsid w:val="00EA1896"/>
    <w:rsid w:val="00EA1DFE"/>
    <w:rsid w:val="00EA1EEF"/>
    <w:rsid w:val="00EA2C00"/>
    <w:rsid w:val="00EA2E00"/>
    <w:rsid w:val="00EA34FD"/>
    <w:rsid w:val="00EA3C2E"/>
    <w:rsid w:val="00EA3CD3"/>
    <w:rsid w:val="00EA41B9"/>
    <w:rsid w:val="00EA583B"/>
    <w:rsid w:val="00EA691A"/>
    <w:rsid w:val="00EB032D"/>
    <w:rsid w:val="00EB056B"/>
    <w:rsid w:val="00EB0BED"/>
    <w:rsid w:val="00EB0C1E"/>
    <w:rsid w:val="00EB1342"/>
    <w:rsid w:val="00EB13BF"/>
    <w:rsid w:val="00EB1E9B"/>
    <w:rsid w:val="00EB20C5"/>
    <w:rsid w:val="00EB20FE"/>
    <w:rsid w:val="00EB2116"/>
    <w:rsid w:val="00EB2545"/>
    <w:rsid w:val="00EB2BA8"/>
    <w:rsid w:val="00EB4CC6"/>
    <w:rsid w:val="00EB50A2"/>
    <w:rsid w:val="00EB62AE"/>
    <w:rsid w:val="00EC019A"/>
    <w:rsid w:val="00EC02FA"/>
    <w:rsid w:val="00EC0FD8"/>
    <w:rsid w:val="00EC2801"/>
    <w:rsid w:val="00EC2864"/>
    <w:rsid w:val="00EC3927"/>
    <w:rsid w:val="00EC3C98"/>
    <w:rsid w:val="00EC4A5D"/>
    <w:rsid w:val="00EC4BD1"/>
    <w:rsid w:val="00EC5510"/>
    <w:rsid w:val="00EC5965"/>
    <w:rsid w:val="00EC5995"/>
    <w:rsid w:val="00EC667D"/>
    <w:rsid w:val="00ED0711"/>
    <w:rsid w:val="00ED0E4D"/>
    <w:rsid w:val="00ED2651"/>
    <w:rsid w:val="00ED2C3E"/>
    <w:rsid w:val="00ED3F83"/>
    <w:rsid w:val="00ED45BF"/>
    <w:rsid w:val="00ED4BB2"/>
    <w:rsid w:val="00ED6637"/>
    <w:rsid w:val="00ED6B03"/>
    <w:rsid w:val="00ED7E14"/>
    <w:rsid w:val="00EE02E2"/>
    <w:rsid w:val="00EE0915"/>
    <w:rsid w:val="00EE0FAB"/>
    <w:rsid w:val="00EE12FE"/>
    <w:rsid w:val="00EE1BA7"/>
    <w:rsid w:val="00EE200E"/>
    <w:rsid w:val="00EE3E7D"/>
    <w:rsid w:val="00EE5435"/>
    <w:rsid w:val="00EE590E"/>
    <w:rsid w:val="00EE621C"/>
    <w:rsid w:val="00EE6607"/>
    <w:rsid w:val="00EE6B66"/>
    <w:rsid w:val="00EE6DE2"/>
    <w:rsid w:val="00EE6FEB"/>
    <w:rsid w:val="00EF017A"/>
    <w:rsid w:val="00EF2BD6"/>
    <w:rsid w:val="00EF2E24"/>
    <w:rsid w:val="00EF3FD6"/>
    <w:rsid w:val="00EF4897"/>
    <w:rsid w:val="00EF4E71"/>
    <w:rsid w:val="00EF52BB"/>
    <w:rsid w:val="00EF59FF"/>
    <w:rsid w:val="00EF60E3"/>
    <w:rsid w:val="00EF614D"/>
    <w:rsid w:val="00EF775D"/>
    <w:rsid w:val="00EF7D69"/>
    <w:rsid w:val="00F00256"/>
    <w:rsid w:val="00F00A37"/>
    <w:rsid w:val="00F012CD"/>
    <w:rsid w:val="00F0188A"/>
    <w:rsid w:val="00F01FB6"/>
    <w:rsid w:val="00F02045"/>
    <w:rsid w:val="00F0238E"/>
    <w:rsid w:val="00F02400"/>
    <w:rsid w:val="00F025D5"/>
    <w:rsid w:val="00F03C0F"/>
    <w:rsid w:val="00F03E99"/>
    <w:rsid w:val="00F03FC0"/>
    <w:rsid w:val="00F03FE0"/>
    <w:rsid w:val="00F044B6"/>
    <w:rsid w:val="00F04519"/>
    <w:rsid w:val="00F04E46"/>
    <w:rsid w:val="00F04EAD"/>
    <w:rsid w:val="00F055C2"/>
    <w:rsid w:val="00F05C9C"/>
    <w:rsid w:val="00F079DE"/>
    <w:rsid w:val="00F07EDF"/>
    <w:rsid w:val="00F10C89"/>
    <w:rsid w:val="00F10CFA"/>
    <w:rsid w:val="00F11B0D"/>
    <w:rsid w:val="00F13B64"/>
    <w:rsid w:val="00F147B8"/>
    <w:rsid w:val="00F151FB"/>
    <w:rsid w:val="00F15BC1"/>
    <w:rsid w:val="00F15C23"/>
    <w:rsid w:val="00F15C85"/>
    <w:rsid w:val="00F16378"/>
    <w:rsid w:val="00F16B51"/>
    <w:rsid w:val="00F16C71"/>
    <w:rsid w:val="00F16CA1"/>
    <w:rsid w:val="00F1704D"/>
    <w:rsid w:val="00F174AC"/>
    <w:rsid w:val="00F2069F"/>
    <w:rsid w:val="00F20957"/>
    <w:rsid w:val="00F20C84"/>
    <w:rsid w:val="00F21486"/>
    <w:rsid w:val="00F21523"/>
    <w:rsid w:val="00F231EC"/>
    <w:rsid w:val="00F235E7"/>
    <w:rsid w:val="00F23ACA"/>
    <w:rsid w:val="00F24361"/>
    <w:rsid w:val="00F2485A"/>
    <w:rsid w:val="00F2601A"/>
    <w:rsid w:val="00F2636A"/>
    <w:rsid w:val="00F2720F"/>
    <w:rsid w:val="00F30470"/>
    <w:rsid w:val="00F3087F"/>
    <w:rsid w:val="00F30892"/>
    <w:rsid w:val="00F31459"/>
    <w:rsid w:val="00F31ACE"/>
    <w:rsid w:val="00F32844"/>
    <w:rsid w:val="00F34FD4"/>
    <w:rsid w:val="00F34FF5"/>
    <w:rsid w:val="00F359E2"/>
    <w:rsid w:val="00F36338"/>
    <w:rsid w:val="00F36C13"/>
    <w:rsid w:val="00F372DA"/>
    <w:rsid w:val="00F37549"/>
    <w:rsid w:val="00F37AA0"/>
    <w:rsid w:val="00F40542"/>
    <w:rsid w:val="00F40AE9"/>
    <w:rsid w:val="00F40FE4"/>
    <w:rsid w:val="00F41950"/>
    <w:rsid w:val="00F41F56"/>
    <w:rsid w:val="00F42722"/>
    <w:rsid w:val="00F43000"/>
    <w:rsid w:val="00F4317A"/>
    <w:rsid w:val="00F43781"/>
    <w:rsid w:val="00F43D59"/>
    <w:rsid w:val="00F445C7"/>
    <w:rsid w:val="00F44DC3"/>
    <w:rsid w:val="00F46209"/>
    <w:rsid w:val="00F4687C"/>
    <w:rsid w:val="00F46DBB"/>
    <w:rsid w:val="00F4731F"/>
    <w:rsid w:val="00F474C5"/>
    <w:rsid w:val="00F50724"/>
    <w:rsid w:val="00F514A1"/>
    <w:rsid w:val="00F515BC"/>
    <w:rsid w:val="00F526C7"/>
    <w:rsid w:val="00F529B6"/>
    <w:rsid w:val="00F54749"/>
    <w:rsid w:val="00F549DA"/>
    <w:rsid w:val="00F55469"/>
    <w:rsid w:val="00F56133"/>
    <w:rsid w:val="00F566CC"/>
    <w:rsid w:val="00F603ED"/>
    <w:rsid w:val="00F60DC7"/>
    <w:rsid w:val="00F60F9C"/>
    <w:rsid w:val="00F61B92"/>
    <w:rsid w:val="00F61C17"/>
    <w:rsid w:val="00F62B8B"/>
    <w:rsid w:val="00F6340B"/>
    <w:rsid w:val="00F64B91"/>
    <w:rsid w:val="00F64E1F"/>
    <w:rsid w:val="00F65812"/>
    <w:rsid w:val="00F66276"/>
    <w:rsid w:val="00F66F7D"/>
    <w:rsid w:val="00F67C9B"/>
    <w:rsid w:val="00F70BAE"/>
    <w:rsid w:val="00F70BFB"/>
    <w:rsid w:val="00F716BF"/>
    <w:rsid w:val="00F71942"/>
    <w:rsid w:val="00F732BE"/>
    <w:rsid w:val="00F75DB3"/>
    <w:rsid w:val="00F76012"/>
    <w:rsid w:val="00F7604F"/>
    <w:rsid w:val="00F7630E"/>
    <w:rsid w:val="00F76F17"/>
    <w:rsid w:val="00F7730F"/>
    <w:rsid w:val="00F7741E"/>
    <w:rsid w:val="00F77B81"/>
    <w:rsid w:val="00F80A25"/>
    <w:rsid w:val="00F80CC2"/>
    <w:rsid w:val="00F82795"/>
    <w:rsid w:val="00F832A5"/>
    <w:rsid w:val="00F83EC9"/>
    <w:rsid w:val="00F847C4"/>
    <w:rsid w:val="00F84D5C"/>
    <w:rsid w:val="00F85068"/>
    <w:rsid w:val="00F854AF"/>
    <w:rsid w:val="00F85E66"/>
    <w:rsid w:val="00F86618"/>
    <w:rsid w:val="00F868DE"/>
    <w:rsid w:val="00F86B3E"/>
    <w:rsid w:val="00F86E19"/>
    <w:rsid w:val="00F87C87"/>
    <w:rsid w:val="00F90859"/>
    <w:rsid w:val="00F918C8"/>
    <w:rsid w:val="00F921B5"/>
    <w:rsid w:val="00F93BD1"/>
    <w:rsid w:val="00F93FED"/>
    <w:rsid w:val="00F949AE"/>
    <w:rsid w:val="00F956EA"/>
    <w:rsid w:val="00F95756"/>
    <w:rsid w:val="00F96E2C"/>
    <w:rsid w:val="00F96ED1"/>
    <w:rsid w:val="00FA0AEC"/>
    <w:rsid w:val="00FA169B"/>
    <w:rsid w:val="00FA26E6"/>
    <w:rsid w:val="00FA2E40"/>
    <w:rsid w:val="00FA3225"/>
    <w:rsid w:val="00FA3D2A"/>
    <w:rsid w:val="00FA540E"/>
    <w:rsid w:val="00FA5BAB"/>
    <w:rsid w:val="00FA6505"/>
    <w:rsid w:val="00FA667C"/>
    <w:rsid w:val="00FA6F7B"/>
    <w:rsid w:val="00FA7AED"/>
    <w:rsid w:val="00FA7EED"/>
    <w:rsid w:val="00FB024C"/>
    <w:rsid w:val="00FB0CFA"/>
    <w:rsid w:val="00FB242C"/>
    <w:rsid w:val="00FB451B"/>
    <w:rsid w:val="00FB46B2"/>
    <w:rsid w:val="00FB48BE"/>
    <w:rsid w:val="00FB4DC7"/>
    <w:rsid w:val="00FB4ED3"/>
    <w:rsid w:val="00FB502E"/>
    <w:rsid w:val="00FB5169"/>
    <w:rsid w:val="00FB5627"/>
    <w:rsid w:val="00FB5D67"/>
    <w:rsid w:val="00FB64F1"/>
    <w:rsid w:val="00FB6666"/>
    <w:rsid w:val="00FB69D1"/>
    <w:rsid w:val="00FB7CE9"/>
    <w:rsid w:val="00FC01A3"/>
    <w:rsid w:val="00FC0811"/>
    <w:rsid w:val="00FC0BF3"/>
    <w:rsid w:val="00FC0E6B"/>
    <w:rsid w:val="00FC10FD"/>
    <w:rsid w:val="00FC15AB"/>
    <w:rsid w:val="00FC17FB"/>
    <w:rsid w:val="00FC233F"/>
    <w:rsid w:val="00FC24F1"/>
    <w:rsid w:val="00FC2A98"/>
    <w:rsid w:val="00FC2D9B"/>
    <w:rsid w:val="00FC2DB2"/>
    <w:rsid w:val="00FC48A2"/>
    <w:rsid w:val="00FC500C"/>
    <w:rsid w:val="00FC52AE"/>
    <w:rsid w:val="00FC5869"/>
    <w:rsid w:val="00FC6140"/>
    <w:rsid w:val="00FC692A"/>
    <w:rsid w:val="00FC6A89"/>
    <w:rsid w:val="00FC6CFC"/>
    <w:rsid w:val="00FC784B"/>
    <w:rsid w:val="00FD1221"/>
    <w:rsid w:val="00FD1856"/>
    <w:rsid w:val="00FD199C"/>
    <w:rsid w:val="00FD1EAE"/>
    <w:rsid w:val="00FD2539"/>
    <w:rsid w:val="00FD28E8"/>
    <w:rsid w:val="00FD36B3"/>
    <w:rsid w:val="00FD37FE"/>
    <w:rsid w:val="00FD3AE7"/>
    <w:rsid w:val="00FD4055"/>
    <w:rsid w:val="00FD4981"/>
    <w:rsid w:val="00FD4DF9"/>
    <w:rsid w:val="00FD6207"/>
    <w:rsid w:val="00FD7231"/>
    <w:rsid w:val="00FD75B7"/>
    <w:rsid w:val="00FD7CD3"/>
    <w:rsid w:val="00FE15AD"/>
    <w:rsid w:val="00FE2D22"/>
    <w:rsid w:val="00FE2E8D"/>
    <w:rsid w:val="00FE4DDC"/>
    <w:rsid w:val="00FE62BE"/>
    <w:rsid w:val="00FE7505"/>
    <w:rsid w:val="00FF0746"/>
    <w:rsid w:val="00FF0EF0"/>
    <w:rsid w:val="00FF20C9"/>
    <w:rsid w:val="00FF26B5"/>
    <w:rsid w:val="00FF3E9D"/>
    <w:rsid w:val="00FF57A6"/>
    <w:rsid w:val="00FF595E"/>
    <w:rsid w:val="00FF59B1"/>
    <w:rsid w:val="00FF59C7"/>
    <w:rsid w:val="00FF5FE3"/>
    <w:rsid w:val="00FF6DC6"/>
    <w:rsid w:val="00FF6DFF"/>
    <w:rsid w:val="00FF6E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970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9"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locked="1" w:uiPriority="0"/>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lsdException w:name="footnote text" w:locked="1"/>
    <w:lsdException w:name="footer" w:locked="1"/>
    <w:lsdException w:name="caption" w:locked="1" w:uiPriority="0" w:qFormat="1"/>
    <w:lsdException w:name="footnote reference" w:locked="1"/>
    <w:lsdException w:name="page number" w:locked="1" w:uiPriority="0"/>
    <w:lsdException w:name="endnote reference" w:uiPriority="0"/>
    <w:lsdException w:name="endnote text" w:uiPriority="0"/>
    <w:lsdException w:name="List" w:locked="1" w:uiPriority="0"/>
    <w:lsdException w:name="List Bullet" w:locked="1" w:uiPriority="0"/>
    <w:lsdException w:name="List Bullet 2" w:locked="1" w:uiPriority="0"/>
    <w:lsdException w:name="List Bullet 5" w:uiPriority="0"/>
    <w:lsdException w:name="List Number 5" w:locked="1" w:uiPriority="0"/>
    <w:lsdException w:name="Title" w:locked="1" w:semiHidden="0" w:uiPriority="10" w:unhideWhenUsed="0" w:qFormat="1"/>
    <w:lsdException w:name="Closing" w:uiPriority="0"/>
    <w:lsdException w:name="Signature" w:locked="1" w:uiPriority="0"/>
    <w:lsdException w:name="Default Paragraph Font" w:locked="1" w:uiPriority="0"/>
    <w:lsdException w:name="Body Text" w:locked="1" w:uiPriority="0"/>
    <w:lsdException w:name="Body Text Indent" w:locked="1" w:uiPriority="0"/>
    <w:lsdException w:name="List Continue" w:locked="1" w:uiPriority="0"/>
    <w:lsdException w:name="List Continue 3" w:uiPriority="0"/>
    <w:lsdException w:name="Subtitle" w:locked="1" w:semiHidden="0" w:uiPriority="0" w:unhideWhenUsed="0" w:qFormat="1"/>
    <w:lsdException w:name="Body Text First Indent" w:locked="1" w:semiHidden="0" w:uiPriority="0" w:unhideWhenUsed="0"/>
    <w:lsdException w:name="Note Heading" w:uiPriority="0"/>
    <w:lsdException w:name="Body Text 2" w:locked="1" w:uiPriority="0"/>
    <w:lsdException w:name="Body Text 3" w:locked="1" w:uiPriority="0"/>
    <w:lsdException w:name="Body Text Indent 2" w:locked="1" w:uiPriority="0"/>
    <w:lsdException w:name="FollowedHyperlink" w:locked="1"/>
    <w:lsdException w:name="Strong" w:locked="1" w:semiHidden="0" w:uiPriority="22" w:unhideWhenUsed="0" w:qFormat="1"/>
    <w:lsdException w:name="Emphasis" w:locked="1" w:semiHidden="0" w:uiPriority="0" w:unhideWhenUsed="0" w:qFormat="1"/>
    <w:lsdException w:name="Document Map" w:locked="1" w:uiPriority="0"/>
    <w:lsdException w:name="Plain Text" w:locked="1"/>
    <w:lsdException w:name="E-mail Signature" w:uiPriority="0"/>
    <w:lsdException w:name="Normal (Web)" w:locked="1"/>
    <w:lsdException w:name="No List" w:locked="1"/>
    <w:lsdException w:name="Table Simple 3" w:locked="1" w:uiPriority="0"/>
    <w:lsdException w:name="Table Colorful 1" w:uiPriority="0"/>
    <w:lsdException w:name="Table Grid 1" w:locked="1" w:uiPriority="0"/>
    <w:lsdException w:name="Table Grid 2" w:uiPriority="0"/>
    <w:lsdException w:name="Balloon Text" w:locked="1" w:uiPriority="0"/>
    <w:lsdException w:name="Table Grid" w:locked="1" w:uiPriority="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21C"/>
    <w:rPr>
      <w:color w:val="1A171B"/>
      <w:sz w:val="20"/>
      <w:lang w:eastAsia="en-US"/>
    </w:rPr>
  </w:style>
  <w:style w:type="paragraph" w:styleId="Titre1">
    <w:name w:val="heading 1"/>
    <w:basedOn w:val="Normal"/>
    <w:next w:val="Corpsdetexte"/>
    <w:link w:val="Titre1Car"/>
    <w:qFormat/>
    <w:rsid w:val="00457DAD"/>
    <w:pPr>
      <w:keepNext/>
      <w:keepLines/>
      <w:pageBreakBefore/>
      <w:numPr>
        <w:numId w:val="1"/>
      </w:numPr>
      <w:tabs>
        <w:tab w:val="right" w:pos="9356"/>
      </w:tabs>
      <w:suppressAutoHyphens/>
      <w:spacing w:before="960" w:after="960"/>
      <w:outlineLvl w:val="0"/>
    </w:pPr>
    <w:rPr>
      <w:rFonts w:asciiTheme="minorHAnsi" w:eastAsia="Times New Roman" w:hAnsiTheme="minorHAnsi"/>
      <w:b/>
      <w:color w:val="auto"/>
      <w:sz w:val="72"/>
      <w:szCs w:val="32"/>
    </w:rPr>
  </w:style>
  <w:style w:type="paragraph" w:styleId="Titre2">
    <w:name w:val="heading 2"/>
    <w:basedOn w:val="Normal"/>
    <w:next w:val="Corpsdetexte"/>
    <w:link w:val="Titre2Car"/>
    <w:qFormat/>
    <w:rsid w:val="00780ADA"/>
    <w:pPr>
      <w:keepNext/>
      <w:keepLines/>
      <w:pageBreakBefore/>
      <w:numPr>
        <w:ilvl w:val="1"/>
        <w:numId w:val="1"/>
      </w:numPr>
      <w:suppressAutoHyphens/>
      <w:spacing w:before="480" w:after="240"/>
      <w:outlineLvl w:val="1"/>
    </w:pPr>
    <w:rPr>
      <w:b/>
      <w:color w:val="auto"/>
      <w:sz w:val="40"/>
    </w:rPr>
  </w:style>
  <w:style w:type="paragraph" w:styleId="Titre3">
    <w:name w:val="heading 3"/>
    <w:basedOn w:val="Normal"/>
    <w:next w:val="Corpsdetexte"/>
    <w:link w:val="Titre3Car"/>
    <w:qFormat/>
    <w:rsid w:val="00780ADA"/>
    <w:pPr>
      <w:keepNext/>
      <w:keepLines/>
      <w:numPr>
        <w:ilvl w:val="2"/>
        <w:numId w:val="1"/>
      </w:numPr>
      <w:spacing w:before="240" w:after="240"/>
      <w:outlineLvl w:val="2"/>
    </w:pPr>
    <w:rPr>
      <w:color w:val="auto"/>
      <w:sz w:val="28"/>
    </w:rPr>
  </w:style>
  <w:style w:type="paragraph" w:styleId="Titre4">
    <w:name w:val="heading 4"/>
    <w:basedOn w:val="Normal"/>
    <w:next w:val="Corpsdetexte"/>
    <w:link w:val="Titre4Car"/>
    <w:uiPriority w:val="9"/>
    <w:qFormat/>
    <w:rsid w:val="00862898"/>
    <w:pPr>
      <w:keepNext/>
      <w:keepLines/>
      <w:numPr>
        <w:ilvl w:val="3"/>
        <w:numId w:val="1"/>
      </w:numPr>
      <w:suppressAutoHyphens/>
      <w:spacing w:before="240" w:after="120"/>
      <w:outlineLvl w:val="3"/>
    </w:pPr>
    <w:rPr>
      <w:color w:val="auto"/>
      <w:sz w:val="24"/>
      <w:lang w:eastAsia="fr-FR"/>
    </w:rPr>
  </w:style>
  <w:style w:type="paragraph" w:styleId="Titre5">
    <w:name w:val="heading 5"/>
    <w:basedOn w:val="Titre4"/>
    <w:next w:val="Corpsdetexte"/>
    <w:link w:val="Titre5Car"/>
    <w:qFormat/>
    <w:rsid w:val="00862898"/>
    <w:pPr>
      <w:numPr>
        <w:ilvl w:val="4"/>
      </w:numPr>
      <w:ind w:left="0"/>
      <w:outlineLvl w:val="4"/>
    </w:pPr>
    <w:rPr>
      <w:b/>
      <w:i/>
      <w:sz w:val="21"/>
    </w:rPr>
  </w:style>
  <w:style w:type="paragraph" w:styleId="Titre6">
    <w:name w:val="heading 6"/>
    <w:basedOn w:val="Titre5"/>
    <w:next w:val="Corpsdetexte"/>
    <w:link w:val="Titre6Car"/>
    <w:qFormat/>
    <w:rsid w:val="00DB6CB6"/>
    <w:pPr>
      <w:numPr>
        <w:ilvl w:val="5"/>
      </w:numPr>
      <w:outlineLvl w:val="5"/>
    </w:pPr>
  </w:style>
  <w:style w:type="paragraph" w:styleId="Titre7">
    <w:name w:val="heading 7"/>
    <w:basedOn w:val="Titre6"/>
    <w:next w:val="Normal"/>
    <w:link w:val="Titre7Car"/>
    <w:qFormat/>
    <w:rsid w:val="00DB6CB6"/>
    <w:pPr>
      <w:numPr>
        <w:ilvl w:val="6"/>
      </w:numPr>
      <w:outlineLvl w:val="6"/>
    </w:pPr>
  </w:style>
  <w:style w:type="paragraph" w:styleId="Titre8">
    <w:name w:val="heading 8"/>
    <w:basedOn w:val="Normal"/>
    <w:next w:val="Normal"/>
    <w:link w:val="Titre8Car"/>
    <w:qFormat/>
    <w:rsid w:val="00301C0A"/>
    <w:pPr>
      <w:keepNext/>
      <w:keepLines/>
      <w:numPr>
        <w:ilvl w:val="7"/>
        <w:numId w:val="1"/>
      </w:numPr>
      <w:spacing w:before="40"/>
      <w:outlineLvl w:val="7"/>
    </w:pPr>
    <w:rPr>
      <w:rFonts w:ascii="Calibri Light" w:eastAsia="Times New Roman" w:hAnsi="Calibri Light"/>
      <w:color w:val="272727"/>
      <w:sz w:val="21"/>
      <w:szCs w:val="21"/>
    </w:rPr>
  </w:style>
  <w:style w:type="paragraph" w:styleId="Titre9">
    <w:name w:val="heading 9"/>
    <w:basedOn w:val="Normal"/>
    <w:next w:val="Normal"/>
    <w:link w:val="Titre9Car"/>
    <w:qFormat/>
    <w:rsid w:val="00301C0A"/>
    <w:pPr>
      <w:keepNext/>
      <w:keepLines/>
      <w:spacing w:before="4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7C7B76"/>
    <w:pPr>
      <w:keepLines/>
      <w:spacing w:before="120"/>
      <w:jc w:val="both"/>
    </w:pPr>
  </w:style>
  <w:style w:type="character" w:customStyle="1" w:styleId="CorpsdetexteCar">
    <w:name w:val="Corps de texte Car"/>
    <w:basedOn w:val="Policepardfaut"/>
    <w:link w:val="Corpsdetexte"/>
    <w:locked/>
    <w:rsid w:val="007C7B76"/>
    <w:rPr>
      <w:color w:val="1A171B"/>
      <w:sz w:val="20"/>
      <w:lang w:eastAsia="en-US"/>
    </w:rPr>
  </w:style>
  <w:style w:type="character" w:customStyle="1" w:styleId="Titre1Car">
    <w:name w:val="Titre 1 Car"/>
    <w:basedOn w:val="Policepardfaut"/>
    <w:link w:val="Titre1"/>
    <w:locked/>
    <w:rsid w:val="00457DAD"/>
    <w:rPr>
      <w:rFonts w:asciiTheme="minorHAnsi" w:eastAsia="Times New Roman" w:hAnsiTheme="minorHAnsi"/>
      <w:b/>
      <w:sz w:val="72"/>
      <w:szCs w:val="32"/>
      <w:lang w:eastAsia="en-US"/>
    </w:rPr>
  </w:style>
  <w:style w:type="character" w:customStyle="1" w:styleId="Titre2Car">
    <w:name w:val="Titre 2 Car"/>
    <w:basedOn w:val="Policepardfaut"/>
    <w:link w:val="Titre2"/>
    <w:locked/>
    <w:rsid w:val="00780ADA"/>
    <w:rPr>
      <w:b/>
      <w:sz w:val="40"/>
      <w:lang w:eastAsia="en-US"/>
    </w:rPr>
  </w:style>
  <w:style w:type="character" w:customStyle="1" w:styleId="Titre3Car">
    <w:name w:val="Titre 3 Car"/>
    <w:basedOn w:val="Policepardfaut"/>
    <w:link w:val="Titre3"/>
    <w:locked/>
    <w:rsid w:val="00780ADA"/>
    <w:rPr>
      <w:sz w:val="28"/>
      <w:lang w:eastAsia="en-US"/>
    </w:rPr>
  </w:style>
  <w:style w:type="character" w:customStyle="1" w:styleId="Titre4Car">
    <w:name w:val="Titre 4 Car"/>
    <w:basedOn w:val="Policepardfaut"/>
    <w:link w:val="Titre4"/>
    <w:uiPriority w:val="9"/>
    <w:locked/>
    <w:rsid w:val="00862898"/>
    <w:rPr>
      <w:sz w:val="24"/>
    </w:rPr>
  </w:style>
  <w:style w:type="character" w:customStyle="1" w:styleId="Titre5Car">
    <w:name w:val="Titre 5 Car"/>
    <w:basedOn w:val="Policepardfaut"/>
    <w:link w:val="Titre5"/>
    <w:locked/>
    <w:rsid w:val="00862898"/>
    <w:rPr>
      <w:b/>
      <w:i/>
      <w:sz w:val="21"/>
    </w:rPr>
  </w:style>
  <w:style w:type="character" w:customStyle="1" w:styleId="Titre6Car">
    <w:name w:val="Titre 6 Car"/>
    <w:basedOn w:val="Policepardfaut"/>
    <w:link w:val="Titre6"/>
    <w:locked/>
    <w:rsid w:val="00DB6CB6"/>
    <w:rPr>
      <w:b/>
      <w:i/>
      <w:sz w:val="21"/>
    </w:rPr>
  </w:style>
  <w:style w:type="character" w:customStyle="1" w:styleId="Titre7Car">
    <w:name w:val="Titre 7 Car"/>
    <w:basedOn w:val="Policepardfaut"/>
    <w:link w:val="Titre7"/>
    <w:locked/>
    <w:rsid w:val="00DB6CB6"/>
    <w:rPr>
      <w:b/>
      <w:i/>
      <w:sz w:val="21"/>
    </w:rPr>
  </w:style>
  <w:style w:type="character" w:customStyle="1" w:styleId="Titre8Car">
    <w:name w:val="Titre 8 Car"/>
    <w:basedOn w:val="Policepardfaut"/>
    <w:link w:val="Titre8"/>
    <w:locked/>
    <w:rsid w:val="00301C0A"/>
    <w:rPr>
      <w:rFonts w:ascii="Calibri Light" w:eastAsia="Times New Roman" w:hAnsi="Calibri Light"/>
      <w:color w:val="272727"/>
      <w:sz w:val="21"/>
      <w:szCs w:val="21"/>
      <w:lang w:eastAsia="en-US"/>
    </w:rPr>
  </w:style>
  <w:style w:type="character" w:customStyle="1" w:styleId="Titre9Car">
    <w:name w:val="Titre 9 Car"/>
    <w:basedOn w:val="Policepardfaut"/>
    <w:link w:val="Titre9"/>
    <w:locked/>
    <w:rsid w:val="00301C0A"/>
    <w:rPr>
      <w:rFonts w:ascii="Calibri Light" w:eastAsia="Times New Roman" w:hAnsi="Calibri Light" w:cs="Times New Roman"/>
      <w:i/>
      <w:iCs/>
      <w:color w:val="272727"/>
      <w:sz w:val="21"/>
      <w:szCs w:val="21"/>
      <w:lang w:val="fr-FR" w:eastAsia="en-US" w:bidi="ar-SA"/>
    </w:rPr>
  </w:style>
  <w:style w:type="paragraph" w:styleId="Textedebulles">
    <w:name w:val="Balloon Text"/>
    <w:basedOn w:val="Normal"/>
    <w:link w:val="TextedebullesCar"/>
    <w:rsid w:val="00D869E2"/>
    <w:rPr>
      <w:rFonts w:ascii="Segoe UI" w:hAnsi="Segoe UI" w:cs="Segoe UI"/>
      <w:sz w:val="18"/>
      <w:szCs w:val="18"/>
    </w:rPr>
  </w:style>
  <w:style w:type="character" w:customStyle="1" w:styleId="TextedebullesCar">
    <w:name w:val="Texte de bulles Car"/>
    <w:basedOn w:val="Policepardfaut"/>
    <w:link w:val="Textedebulles"/>
    <w:locked/>
    <w:rsid w:val="00D869E2"/>
    <w:rPr>
      <w:rFonts w:ascii="Segoe UI" w:hAnsi="Segoe UI" w:cs="Segoe UI"/>
      <w:sz w:val="18"/>
      <w:szCs w:val="18"/>
    </w:rPr>
  </w:style>
  <w:style w:type="paragraph" w:styleId="En-tte">
    <w:name w:val="header"/>
    <w:basedOn w:val="Normal"/>
    <w:link w:val="En-tteCar"/>
    <w:uiPriority w:val="99"/>
    <w:rsid w:val="001E27A6"/>
    <w:pPr>
      <w:tabs>
        <w:tab w:val="center" w:pos="4536"/>
        <w:tab w:val="right" w:pos="9072"/>
      </w:tabs>
      <w:ind w:left="-567" w:right="-567"/>
    </w:pPr>
  </w:style>
  <w:style w:type="character" w:customStyle="1" w:styleId="En-tteCar">
    <w:name w:val="En-tête Car"/>
    <w:basedOn w:val="Policepardfaut"/>
    <w:link w:val="En-tte"/>
    <w:uiPriority w:val="99"/>
    <w:locked/>
    <w:rsid w:val="001E27A6"/>
    <w:rPr>
      <w:color w:val="1A171B"/>
      <w:sz w:val="20"/>
      <w:lang w:eastAsia="en-US"/>
    </w:rPr>
  </w:style>
  <w:style w:type="paragraph" w:styleId="Pieddepage">
    <w:name w:val="footer"/>
    <w:basedOn w:val="Normal"/>
    <w:link w:val="PieddepageCar"/>
    <w:uiPriority w:val="99"/>
    <w:rsid w:val="009508E8"/>
    <w:pPr>
      <w:tabs>
        <w:tab w:val="center" w:pos="4536"/>
        <w:tab w:val="right" w:pos="9072"/>
      </w:tabs>
      <w:ind w:left="-567" w:right="-567"/>
      <w:jc w:val="right"/>
    </w:pPr>
    <w:rPr>
      <w:color w:val="auto"/>
    </w:rPr>
  </w:style>
  <w:style w:type="character" w:customStyle="1" w:styleId="PieddepageCar">
    <w:name w:val="Pied de page Car"/>
    <w:basedOn w:val="Policepardfaut"/>
    <w:link w:val="Pieddepage"/>
    <w:uiPriority w:val="99"/>
    <w:locked/>
    <w:rsid w:val="009508E8"/>
    <w:rPr>
      <w:sz w:val="20"/>
      <w:lang w:eastAsia="en-US"/>
    </w:rPr>
  </w:style>
  <w:style w:type="paragraph" w:styleId="Lgende">
    <w:name w:val="caption"/>
    <w:basedOn w:val="Normal"/>
    <w:next w:val="Corpsdetexte"/>
    <w:link w:val="LgendeCar"/>
    <w:qFormat/>
    <w:rsid w:val="00C36ED3"/>
    <w:pPr>
      <w:keepNext/>
      <w:keepLines/>
      <w:numPr>
        <w:numId w:val="2"/>
      </w:numPr>
      <w:tabs>
        <w:tab w:val="left" w:pos="284"/>
        <w:tab w:val="left" w:pos="425"/>
        <w:tab w:val="left" w:pos="567"/>
      </w:tabs>
      <w:spacing w:before="240" w:after="120"/>
    </w:pPr>
    <w:rPr>
      <w:i/>
      <w:iCs/>
      <w:szCs w:val="18"/>
    </w:rPr>
  </w:style>
  <w:style w:type="character" w:customStyle="1" w:styleId="LgendeCar">
    <w:name w:val="Légende Car"/>
    <w:basedOn w:val="Policepardfaut"/>
    <w:link w:val="Lgende"/>
    <w:locked/>
    <w:rsid w:val="00C36ED3"/>
    <w:rPr>
      <w:i/>
      <w:iCs/>
      <w:color w:val="1A171B"/>
      <w:sz w:val="20"/>
      <w:szCs w:val="18"/>
      <w:lang w:eastAsia="en-US"/>
    </w:rPr>
  </w:style>
  <w:style w:type="character" w:styleId="Titredulivre">
    <w:name w:val="Book Title"/>
    <w:basedOn w:val="Policepardfaut"/>
    <w:uiPriority w:val="33"/>
    <w:qFormat/>
    <w:rsid w:val="00D035C0"/>
    <w:rPr>
      <w:bCs/>
      <w:iCs/>
      <w:color w:val="auto"/>
      <w:spacing w:val="5"/>
      <w:sz w:val="72"/>
    </w:rPr>
  </w:style>
  <w:style w:type="paragraph" w:styleId="Titre">
    <w:name w:val="Title"/>
    <w:basedOn w:val="Normal"/>
    <w:next w:val="Corpsdetexte2"/>
    <w:link w:val="TitreCar"/>
    <w:uiPriority w:val="10"/>
    <w:qFormat/>
    <w:rsid w:val="009556E8"/>
    <w:pPr>
      <w:contextualSpacing/>
      <w:jc w:val="right"/>
    </w:pPr>
    <w:rPr>
      <w:rFonts w:eastAsia="Times New Roman"/>
      <w:color w:val="auto"/>
      <w:spacing w:val="-10"/>
      <w:kern w:val="28"/>
      <w:sz w:val="80"/>
      <w:szCs w:val="56"/>
    </w:rPr>
  </w:style>
  <w:style w:type="paragraph" w:styleId="Corpsdetexte2">
    <w:name w:val="Body Text 2"/>
    <w:basedOn w:val="Normal"/>
    <w:link w:val="Corpsdetexte2Car"/>
    <w:rsid w:val="008358C8"/>
    <w:pPr>
      <w:spacing w:before="60"/>
      <w:jc w:val="both"/>
    </w:pPr>
    <w:rPr>
      <w:i/>
    </w:rPr>
  </w:style>
  <w:style w:type="character" w:customStyle="1" w:styleId="Corpsdetexte2Car">
    <w:name w:val="Corps de texte 2 Car"/>
    <w:basedOn w:val="Policepardfaut"/>
    <w:link w:val="Corpsdetexte2"/>
    <w:locked/>
    <w:rsid w:val="008358C8"/>
    <w:rPr>
      <w:i/>
      <w:color w:val="1A171B"/>
      <w:sz w:val="20"/>
      <w:lang w:eastAsia="en-US"/>
    </w:rPr>
  </w:style>
  <w:style w:type="character" w:customStyle="1" w:styleId="TitreCar">
    <w:name w:val="Titre Car"/>
    <w:basedOn w:val="Policepardfaut"/>
    <w:link w:val="Titre"/>
    <w:uiPriority w:val="10"/>
    <w:locked/>
    <w:rsid w:val="009556E8"/>
    <w:rPr>
      <w:rFonts w:eastAsia="Times New Roman"/>
      <w:spacing w:val="-10"/>
      <w:kern w:val="28"/>
      <w:sz w:val="80"/>
      <w:szCs w:val="56"/>
      <w:lang w:eastAsia="en-US"/>
    </w:rPr>
  </w:style>
  <w:style w:type="paragraph" w:styleId="Sous-titre">
    <w:name w:val="Subtitle"/>
    <w:basedOn w:val="Normal"/>
    <w:next w:val="Normal"/>
    <w:link w:val="Sous-titreCar"/>
    <w:qFormat/>
    <w:rsid w:val="009556E8"/>
    <w:pPr>
      <w:numPr>
        <w:ilvl w:val="1"/>
      </w:numPr>
      <w:spacing w:before="240" w:after="240"/>
      <w:jc w:val="right"/>
    </w:pPr>
    <w:rPr>
      <w:rFonts w:eastAsia="Times New Roman"/>
      <w:b/>
      <w:color w:val="auto"/>
      <w:spacing w:val="15"/>
      <w:sz w:val="84"/>
    </w:rPr>
  </w:style>
  <w:style w:type="character" w:customStyle="1" w:styleId="Sous-titreCar">
    <w:name w:val="Sous-titre Car"/>
    <w:basedOn w:val="Policepardfaut"/>
    <w:link w:val="Sous-titre"/>
    <w:locked/>
    <w:rsid w:val="009556E8"/>
    <w:rPr>
      <w:rFonts w:eastAsia="Times New Roman"/>
      <w:b/>
      <w:spacing w:val="15"/>
      <w:sz w:val="84"/>
      <w:lang w:eastAsia="en-US"/>
    </w:rPr>
  </w:style>
  <w:style w:type="paragraph" w:customStyle="1" w:styleId="Sous-Titre2">
    <w:name w:val="Sous-Titre 2"/>
    <w:basedOn w:val="Normal"/>
    <w:next w:val="Corpsdetexte"/>
    <w:qFormat/>
    <w:rsid w:val="00C127E6"/>
    <w:pPr>
      <w:jc w:val="right"/>
    </w:pPr>
    <w:rPr>
      <w:color w:val="auto"/>
      <w:sz w:val="28"/>
    </w:rPr>
  </w:style>
  <w:style w:type="paragraph" w:styleId="Corpsdetexte3">
    <w:name w:val="Body Text 3"/>
    <w:basedOn w:val="Normal"/>
    <w:link w:val="Corpsdetexte3Car"/>
    <w:rsid w:val="00E12A53"/>
    <w:pPr>
      <w:spacing w:after="120"/>
    </w:pPr>
    <w:rPr>
      <w:sz w:val="16"/>
      <w:szCs w:val="16"/>
    </w:rPr>
  </w:style>
  <w:style w:type="character" w:customStyle="1" w:styleId="Corpsdetexte3Car">
    <w:name w:val="Corps de texte 3 Car"/>
    <w:basedOn w:val="Policepardfaut"/>
    <w:link w:val="Corpsdetexte3"/>
    <w:locked/>
    <w:rsid w:val="00E12A53"/>
    <w:rPr>
      <w:rFonts w:ascii="Calibri" w:hAnsi="Calibri" w:cs="Times New Roman"/>
      <w:color w:val="1A171B"/>
      <w:sz w:val="16"/>
      <w:szCs w:val="16"/>
    </w:rPr>
  </w:style>
  <w:style w:type="table" w:styleId="Grilledutableau">
    <w:name w:val="Table Grid"/>
    <w:basedOn w:val="TableauNormal"/>
    <w:rsid w:val="00E31426"/>
    <w:pPr>
      <w:spacing w:before="120"/>
    </w:pPr>
    <w:rPr>
      <w:rFonts w:eastAsia="Times New Roman"/>
      <w:sz w:val="20"/>
      <w:szCs w:val="20"/>
    </w:rPr>
    <w:tblPr>
      <w:tblBorders>
        <w:insideV w:val="single" w:sz="4" w:space="0" w:color="auto"/>
      </w:tblBorders>
      <w:tblCellMar>
        <w:left w:w="227" w:type="dxa"/>
        <w:right w:w="227" w:type="dxa"/>
      </w:tblCellMar>
    </w:tblPr>
    <w:tblStylePr w:type="firstCol">
      <w:rPr>
        <w:rFonts w:ascii="Times New Roman" w:hAnsi="Times New Roman" w:cs="Times New Roman"/>
        <w:sz w:val="24"/>
      </w:rPr>
      <w:tblPr/>
      <w:tcPr>
        <w:tcBorders>
          <w:top w:val="nil"/>
          <w:left w:val="nil"/>
          <w:bottom w:val="nil"/>
          <w:right w:val="nil"/>
          <w:insideH w:val="nil"/>
          <w:insideV w:val="nil"/>
          <w:tl2br w:val="nil"/>
          <w:tr2bl w:val="nil"/>
        </w:tcBorders>
      </w:tcPr>
    </w:tblStylePr>
  </w:style>
  <w:style w:type="character" w:styleId="Lienhypertexte">
    <w:name w:val="Hyperlink"/>
    <w:basedOn w:val="Policepardfaut"/>
    <w:uiPriority w:val="99"/>
    <w:rsid w:val="00E12A53"/>
    <w:rPr>
      <w:rFonts w:cs="Times New Roman"/>
      <w:color w:val="0000FF"/>
      <w:u w:val="single"/>
    </w:rPr>
  </w:style>
  <w:style w:type="table" w:styleId="Grilledetableau1">
    <w:name w:val="Table Grid 1"/>
    <w:basedOn w:val="TableauNormal"/>
    <w:rsid w:val="00E12A53"/>
    <w:pPr>
      <w:keepNext/>
      <w:keepLines/>
      <w:jc w:val="center"/>
    </w:pPr>
    <w:rPr>
      <w:rFonts w:ascii="Times New Roman" w:eastAsia="Times New Roman" w:hAnsi="Times New Roman"/>
      <w:b/>
      <w:i/>
      <w:sz w:val="24"/>
      <w:szCs w:val="20"/>
    </w:rPr>
    <w:tblPr>
      <w:tblStyleRowBandSize w:val="1"/>
      <w:tblStyleColBandSize w:val="1"/>
      <w:jc w:val="center"/>
      <w:tblCellMar>
        <w:left w:w="0" w:type="dxa"/>
        <w:right w:w="0" w:type="dxa"/>
      </w:tblCellMar>
    </w:tblPr>
    <w:trPr>
      <w:jc w:val="center"/>
    </w:trPr>
    <w:tblStylePr w:type="firstRow">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lastRow">
      <w:rPr>
        <w:rFonts w:cs="Times New Roman"/>
        <w:i/>
        <w:iCs/>
      </w:rPr>
      <w:tblPr/>
      <w:tcPr>
        <w:tcBorders>
          <w:tl2br w:val="none" w:sz="0" w:space="0" w:color="auto"/>
          <w:tr2bl w:val="none" w:sz="0" w:space="0" w:color="auto"/>
        </w:tcBorders>
      </w:tcPr>
    </w:tblStylePr>
    <w:tblStylePr w:type="lastCol">
      <w:rPr>
        <w:rFonts w:ascii="Times New Roman" w:hAnsi="Times New Roman" w:cs="Times New Roman"/>
        <w:i/>
        <w:iCs/>
        <w:sz w:val="24"/>
      </w:rPr>
      <w:tblPr/>
      <w:tcPr>
        <w:tcBorders>
          <w:top w:val="nil"/>
          <w:left w:val="nil"/>
          <w:bottom w:val="nil"/>
          <w:right w:val="nil"/>
          <w:insideH w:val="nil"/>
          <w:insideV w:val="nil"/>
          <w:tl2br w:val="nil"/>
          <w:tr2bl w:val="nil"/>
        </w:tcBorders>
        <w:shd w:val="clear" w:color="auto" w:fill="auto"/>
      </w:tcPr>
    </w:tblStylePr>
    <w:tblStylePr w:type="band1Vert">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band2Vert">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band1Horz">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band2Horz">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style>
  <w:style w:type="paragraph" w:styleId="En-ttedetabledesmatires">
    <w:name w:val="TOC Heading"/>
    <w:basedOn w:val="Sous-Titre3"/>
    <w:next w:val="Normal"/>
    <w:uiPriority w:val="39"/>
    <w:unhideWhenUsed/>
    <w:qFormat/>
    <w:rsid w:val="001E27A6"/>
    <w:pPr>
      <w:pageBreakBefore w:val="0"/>
    </w:pPr>
    <w:rPr>
      <w:color w:val="auto"/>
      <w:sz w:val="56"/>
    </w:rPr>
  </w:style>
  <w:style w:type="paragraph" w:customStyle="1" w:styleId="Sous-Titre3">
    <w:name w:val="Sous-Titre 3"/>
    <w:basedOn w:val="Normal"/>
    <w:next w:val="Corpsdetexte"/>
    <w:qFormat/>
    <w:rsid w:val="00CA0594"/>
    <w:pPr>
      <w:pageBreakBefore/>
      <w:spacing w:after="240"/>
    </w:pPr>
    <w:rPr>
      <w:rFonts w:asciiTheme="minorHAnsi" w:hAnsiTheme="minorHAnsi"/>
      <w:color w:val="7D7D7D"/>
      <w:sz w:val="96"/>
    </w:rPr>
  </w:style>
  <w:style w:type="paragraph" w:styleId="TM2">
    <w:name w:val="toc 2"/>
    <w:basedOn w:val="Normal"/>
    <w:next w:val="Corpsdetexte"/>
    <w:autoRedefine/>
    <w:uiPriority w:val="39"/>
    <w:qFormat/>
    <w:rsid w:val="00450148"/>
    <w:pPr>
      <w:tabs>
        <w:tab w:val="right" w:pos="9356"/>
      </w:tabs>
      <w:spacing w:before="60"/>
      <w:ind w:left="284"/>
    </w:pPr>
    <w:rPr>
      <w:rFonts w:eastAsia="Times New Roman"/>
      <w:b/>
      <w:bCs/>
      <w:noProof/>
      <w:color w:val="auto"/>
      <w:sz w:val="22"/>
      <w:szCs w:val="24"/>
      <w:u w:color="000000" w:themeColor="text1"/>
      <w:lang w:eastAsia="fr-FR"/>
    </w:rPr>
  </w:style>
  <w:style w:type="paragraph" w:customStyle="1" w:styleId="FaitsMarquantsDateHautColonne">
    <w:name w:val="Faits Marquants Date Haut Colonne"/>
    <w:basedOn w:val="Corpsdetexte"/>
    <w:next w:val="Corpsdetexte"/>
    <w:qFormat/>
    <w:rsid w:val="003352D7"/>
    <w:pPr>
      <w:shd w:val="clear" w:color="auto" w:fill="009BBE"/>
      <w:spacing w:after="120"/>
      <w:jc w:val="left"/>
    </w:pPr>
    <w:rPr>
      <w:rFonts w:eastAsia="Times New Roman"/>
      <w:b/>
      <w:caps/>
      <w:color w:val="FFFFFF" w:themeColor="background1"/>
      <w:sz w:val="22"/>
      <w:szCs w:val="20"/>
    </w:rPr>
  </w:style>
  <w:style w:type="paragraph" w:styleId="TM4">
    <w:name w:val="toc 4"/>
    <w:basedOn w:val="Normal"/>
    <w:next w:val="Corpsdetexte"/>
    <w:autoRedefine/>
    <w:uiPriority w:val="39"/>
    <w:rsid w:val="001074CF"/>
    <w:pPr>
      <w:tabs>
        <w:tab w:val="left" w:pos="9129"/>
      </w:tabs>
      <w:ind w:left="851" w:right="567"/>
    </w:pPr>
    <w:rPr>
      <w:i/>
      <w:noProof/>
      <w:sz w:val="22"/>
    </w:rPr>
  </w:style>
  <w:style w:type="paragraph" w:styleId="TM5">
    <w:name w:val="toc 5"/>
    <w:basedOn w:val="Normal"/>
    <w:next w:val="Normal"/>
    <w:autoRedefine/>
    <w:uiPriority w:val="39"/>
    <w:rsid w:val="00E12A53"/>
    <w:pPr>
      <w:ind w:left="960"/>
    </w:pPr>
    <w:rPr>
      <w:rFonts w:ascii="Times New Roman" w:eastAsia="Times New Roman" w:hAnsi="Times New Roman"/>
      <w:color w:val="auto"/>
      <w:szCs w:val="20"/>
      <w:lang w:eastAsia="fr-FR"/>
    </w:rPr>
  </w:style>
  <w:style w:type="paragraph" w:styleId="TM6">
    <w:name w:val="toc 6"/>
    <w:basedOn w:val="Normal"/>
    <w:next w:val="Normal"/>
    <w:autoRedefine/>
    <w:uiPriority w:val="39"/>
    <w:rsid w:val="00E12A53"/>
    <w:pPr>
      <w:ind w:left="1200"/>
    </w:pPr>
    <w:rPr>
      <w:rFonts w:ascii="Times New Roman" w:eastAsia="Times New Roman" w:hAnsi="Times New Roman"/>
      <w:color w:val="auto"/>
      <w:szCs w:val="20"/>
      <w:lang w:eastAsia="fr-FR"/>
    </w:rPr>
  </w:style>
  <w:style w:type="paragraph" w:styleId="TM7">
    <w:name w:val="toc 7"/>
    <w:basedOn w:val="Normal"/>
    <w:next w:val="Normal"/>
    <w:autoRedefine/>
    <w:uiPriority w:val="39"/>
    <w:rsid w:val="00E12A53"/>
    <w:pPr>
      <w:ind w:left="1440"/>
    </w:pPr>
    <w:rPr>
      <w:rFonts w:ascii="Times New Roman" w:eastAsia="Times New Roman" w:hAnsi="Times New Roman"/>
      <w:color w:val="auto"/>
      <w:szCs w:val="20"/>
      <w:lang w:eastAsia="fr-FR"/>
    </w:rPr>
  </w:style>
  <w:style w:type="paragraph" w:styleId="TM8">
    <w:name w:val="toc 8"/>
    <w:basedOn w:val="Normal"/>
    <w:next w:val="Corpsdetexte"/>
    <w:autoRedefine/>
    <w:uiPriority w:val="39"/>
    <w:rsid w:val="00597F2D"/>
    <w:pPr>
      <w:pBdr>
        <w:top w:val="single" w:sz="8" w:space="12" w:color="E6007D"/>
        <w:left w:val="single" w:sz="8" w:space="12" w:color="E6007D"/>
        <w:bottom w:val="single" w:sz="8" w:space="12" w:color="E6007D"/>
        <w:right w:val="single" w:sz="8" w:space="12" w:color="E6007D"/>
      </w:pBdr>
      <w:shd w:val="clear" w:color="auto" w:fill="F2F2F2"/>
      <w:tabs>
        <w:tab w:val="left" w:leader="dot" w:pos="8789"/>
      </w:tabs>
      <w:spacing w:before="240"/>
      <w:ind w:left="284" w:right="284"/>
    </w:pPr>
    <w:rPr>
      <w:rFonts w:eastAsia="Times New Roman"/>
      <w:b/>
      <w:color w:val="E6007D"/>
      <w:szCs w:val="20"/>
      <w:lang w:eastAsia="fr-FR"/>
    </w:rPr>
  </w:style>
  <w:style w:type="paragraph" w:styleId="TM9">
    <w:name w:val="toc 9"/>
    <w:basedOn w:val="Normal"/>
    <w:next w:val="Normal"/>
    <w:autoRedefine/>
    <w:uiPriority w:val="39"/>
    <w:rsid w:val="00597F2D"/>
    <w:pPr>
      <w:pBdr>
        <w:top w:val="single" w:sz="8" w:space="12" w:color="009BBE"/>
        <w:left w:val="single" w:sz="8" w:space="12" w:color="009BBE"/>
        <w:bottom w:val="single" w:sz="8" w:space="12" w:color="009BBE"/>
        <w:right w:val="single" w:sz="8" w:space="12" w:color="009BBE"/>
      </w:pBdr>
      <w:shd w:val="clear" w:color="auto" w:fill="F2F2F2"/>
      <w:tabs>
        <w:tab w:val="left" w:leader="dot" w:pos="8789"/>
        <w:tab w:val="right" w:pos="9344"/>
      </w:tabs>
      <w:spacing w:before="240"/>
      <w:ind w:left="284" w:right="284"/>
    </w:pPr>
    <w:rPr>
      <w:rFonts w:eastAsia="Times New Roman"/>
      <w:b/>
      <w:color w:val="009BBE"/>
      <w:szCs w:val="20"/>
      <w:lang w:eastAsia="fr-FR"/>
    </w:rPr>
  </w:style>
  <w:style w:type="paragraph" w:styleId="TM3">
    <w:name w:val="toc 3"/>
    <w:basedOn w:val="Normal"/>
    <w:next w:val="Corpsdetexte"/>
    <w:autoRedefine/>
    <w:uiPriority w:val="39"/>
    <w:qFormat/>
    <w:rsid w:val="001E27A6"/>
    <w:pPr>
      <w:tabs>
        <w:tab w:val="right" w:pos="9355"/>
      </w:tabs>
      <w:ind w:left="567"/>
    </w:pPr>
    <w:rPr>
      <w:rFonts w:eastAsia="Times New Roman"/>
      <w:color w:val="auto"/>
      <w:sz w:val="22"/>
      <w:szCs w:val="20"/>
      <w:lang w:eastAsia="fr-FR"/>
    </w:rPr>
  </w:style>
  <w:style w:type="paragraph" w:styleId="TM1">
    <w:name w:val="toc 1"/>
    <w:basedOn w:val="Normal"/>
    <w:next w:val="Corpsdetexte"/>
    <w:autoRedefine/>
    <w:uiPriority w:val="39"/>
    <w:qFormat/>
    <w:rsid w:val="00C354D5"/>
    <w:pPr>
      <w:tabs>
        <w:tab w:val="right" w:pos="9356"/>
      </w:tabs>
      <w:spacing w:before="120" w:after="60"/>
    </w:pPr>
    <w:rPr>
      <w:rFonts w:eastAsia="Times New Roman"/>
      <w:b/>
      <w:bCs/>
      <w:iCs/>
      <w:caps/>
      <w:noProof/>
      <w:color w:val="auto"/>
      <w:sz w:val="24"/>
      <w:szCs w:val="28"/>
      <w:lang w:eastAsia="fr-FR"/>
    </w:rPr>
  </w:style>
  <w:style w:type="paragraph" w:styleId="Explorateurdedocuments">
    <w:name w:val="Document Map"/>
    <w:basedOn w:val="Normal"/>
    <w:link w:val="ExplorateurdedocumentsCar"/>
    <w:rsid w:val="00E12A53"/>
    <w:pPr>
      <w:shd w:val="clear" w:color="auto" w:fill="000080"/>
    </w:pPr>
    <w:rPr>
      <w:rFonts w:ascii="Tahoma" w:eastAsia="Times New Roman" w:hAnsi="Tahoma" w:cs="Tahoma"/>
      <w:color w:val="auto"/>
      <w:szCs w:val="20"/>
      <w:lang w:eastAsia="fr-FR"/>
    </w:rPr>
  </w:style>
  <w:style w:type="character" w:customStyle="1" w:styleId="ExplorateurdedocumentsCar">
    <w:name w:val="Explorateur de documents Car"/>
    <w:basedOn w:val="Policepardfaut"/>
    <w:link w:val="Explorateurdedocuments"/>
    <w:locked/>
    <w:rsid w:val="00E12A53"/>
    <w:rPr>
      <w:rFonts w:ascii="Tahoma" w:hAnsi="Tahoma" w:cs="Tahoma"/>
      <w:sz w:val="20"/>
      <w:szCs w:val="20"/>
      <w:shd w:val="clear" w:color="auto" w:fill="000080"/>
      <w:lang w:eastAsia="fr-FR"/>
    </w:rPr>
  </w:style>
  <w:style w:type="paragraph" w:styleId="Index1">
    <w:name w:val="index 1"/>
    <w:basedOn w:val="Normal"/>
    <w:next w:val="Normal"/>
    <w:autoRedefine/>
    <w:rsid w:val="00E12A53"/>
    <w:pPr>
      <w:ind w:left="240" w:hanging="240"/>
    </w:pPr>
    <w:rPr>
      <w:rFonts w:ascii="Times New Roman" w:eastAsia="Times New Roman" w:hAnsi="Times New Roman"/>
      <w:color w:val="auto"/>
      <w:sz w:val="24"/>
      <w:szCs w:val="24"/>
      <w:lang w:eastAsia="fr-FR"/>
    </w:rPr>
  </w:style>
  <w:style w:type="paragraph" w:customStyle="1" w:styleId="RfetAdresse">
    <w:name w:val="Réf. et Adresse"/>
    <w:basedOn w:val="Normal"/>
    <w:rsid w:val="00E12A53"/>
    <w:rPr>
      <w:rFonts w:ascii="Loptima" w:eastAsia="Times New Roman" w:hAnsi="Loptima"/>
      <w:color w:val="auto"/>
      <w:sz w:val="24"/>
      <w:szCs w:val="20"/>
      <w:lang w:eastAsia="fr-FR"/>
    </w:rPr>
  </w:style>
  <w:style w:type="paragraph" w:styleId="Textebrut">
    <w:name w:val="Plain Text"/>
    <w:basedOn w:val="Normal"/>
    <w:link w:val="TextebrutCar"/>
    <w:uiPriority w:val="99"/>
    <w:rsid w:val="00E12A53"/>
    <w:rPr>
      <w:rFonts w:ascii="Courier New" w:eastAsia="Times New Roman" w:hAnsi="Courier New" w:cs="Courier New"/>
      <w:color w:val="auto"/>
      <w:szCs w:val="20"/>
      <w:lang w:eastAsia="fr-FR"/>
    </w:rPr>
  </w:style>
  <w:style w:type="character" w:customStyle="1" w:styleId="TextebrutCar">
    <w:name w:val="Texte brut Car"/>
    <w:basedOn w:val="Policepardfaut"/>
    <w:link w:val="Textebrut"/>
    <w:uiPriority w:val="99"/>
    <w:locked/>
    <w:rsid w:val="00E12A53"/>
    <w:rPr>
      <w:rFonts w:ascii="Courier New" w:hAnsi="Courier New" w:cs="Courier New"/>
      <w:sz w:val="20"/>
      <w:szCs w:val="20"/>
      <w:lang w:eastAsia="fr-FR"/>
    </w:rPr>
  </w:style>
  <w:style w:type="paragraph" w:customStyle="1" w:styleId="Corpsdelalettre">
    <w:name w:val="Corps de la lettre"/>
    <w:basedOn w:val="Normal"/>
    <w:rsid w:val="00E12A53"/>
    <w:pPr>
      <w:ind w:firstLine="851"/>
      <w:jc w:val="both"/>
    </w:pPr>
    <w:rPr>
      <w:rFonts w:ascii="Loptima" w:eastAsia="Times New Roman" w:hAnsi="Loptima"/>
      <w:color w:val="auto"/>
      <w:sz w:val="24"/>
      <w:szCs w:val="20"/>
      <w:lang w:eastAsia="fr-FR"/>
    </w:rPr>
  </w:style>
  <w:style w:type="paragraph" w:customStyle="1" w:styleId="Sources">
    <w:name w:val="Sources"/>
    <w:basedOn w:val="Normal"/>
    <w:next w:val="Corpsdetexte"/>
    <w:link w:val="SourcesCar"/>
    <w:qFormat/>
    <w:rsid w:val="005229FE"/>
    <w:pPr>
      <w:tabs>
        <w:tab w:val="left" w:pos="1134"/>
        <w:tab w:val="left" w:pos="2268"/>
        <w:tab w:val="left" w:pos="3402"/>
      </w:tabs>
      <w:spacing w:before="60"/>
    </w:pPr>
    <w:rPr>
      <w:rFonts w:eastAsia="Times New Roman"/>
      <w:i/>
      <w:color w:val="auto"/>
      <w:sz w:val="16"/>
      <w:szCs w:val="24"/>
      <w:lang w:eastAsia="fr-FR"/>
    </w:rPr>
  </w:style>
  <w:style w:type="character" w:customStyle="1" w:styleId="SourcesCar">
    <w:name w:val="Sources Car"/>
    <w:link w:val="Sources"/>
    <w:locked/>
    <w:rsid w:val="005229FE"/>
    <w:rPr>
      <w:rFonts w:eastAsia="Times New Roman"/>
      <w:i/>
      <w:sz w:val="16"/>
      <w:szCs w:val="24"/>
    </w:rPr>
  </w:style>
  <w:style w:type="paragraph" w:customStyle="1" w:styleId="Default">
    <w:name w:val="Default"/>
    <w:rsid w:val="00E12A53"/>
    <w:pPr>
      <w:autoSpaceDE w:val="0"/>
      <w:autoSpaceDN w:val="0"/>
      <w:adjustRightInd w:val="0"/>
    </w:pPr>
    <w:rPr>
      <w:rFonts w:ascii="Times New Roman" w:eastAsia="Times New Roman" w:hAnsi="Times New Roman"/>
      <w:color w:val="000000"/>
      <w:sz w:val="24"/>
      <w:szCs w:val="24"/>
    </w:rPr>
  </w:style>
  <w:style w:type="character" w:styleId="Lienhypertextesuivivisit">
    <w:name w:val="FollowedHyperlink"/>
    <w:basedOn w:val="Policepardfaut"/>
    <w:uiPriority w:val="99"/>
    <w:rsid w:val="00E12A53"/>
    <w:rPr>
      <w:rFonts w:cs="Times New Roman"/>
      <w:color w:val="800080"/>
      <w:u w:val="single"/>
    </w:rPr>
  </w:style>
  <w:style w:type="paragraph" w:styleId="NormalWeb">
    <w:name w:val="Normal (Web)"/>
    <w:basedOn w:val="Normal"/>
    <w:uiPriority w:val="99"/>
    <w:rsid w:val="00E12A53"/>
    <w:pPr>
      <w:spacing w:before="100" w:beforeAutospacing="1" w:after="100" w:afterAutospacing="1"/>
    </w:pPr>
    <w:rPr>
      <w:rFonts w:ascii="Times New Roman" w:eastAsia="Times New Roman" w:hAnsi="Times New Roman"/>
      <w:color w:val="auto"/>
      <w:sz w:val="24"/>
      <w:szCs w:val="24"/>
      <w:lang w:eastAsia="fr-FR"/>
    </w:rPr>
  </w:style>
  <w:style w:type="character" w:styleId="Accentuation">
    <w:name w:val="Emphasis"/>
    <w:basedOn w:val="Policepardfaut"/>
    <w:qFormat/>
    <w:rsid w:val="00E12A53"/>
    <w:rPr>
      <w:rFonts w:cs="Times New Roman"/>
      <w:i/>
    </w:rPr>
  </w:style>
  <w:style w:type="paragraph" w:styleId="Retraitcorpsdetexte">
    <w:name w:val="Body Text Indent"/>
    <w:basedOn w:val="Corpsdetexte"/>
    <w:link w:val="RetraitcorpsdetexteCar"/>
    <w:rsid w:val="003434FE"/>
    <w:pPr>
      <w:ind w:left="284"/>
    </w:pPr>
    <w:rPr>
      <w:rFonts w:eastAsia="Times New Roman"/>
      <w:color w:val="auto"/>
      <w:szCs w:val="24"/>
      <w:lang w:eastAsia="fr-FR"/>
    </w:rPr>
  </w:style>
  <w:style w:type="character" w:customStyle="1" w:styleId="RetraitcorpsdetexteCar">
    <w:name w:val="Retrait corps de texte Car"/>
    <w:basedOn w:val="Policepardfaut"/>
    <w:link w:val="Retraitcorpsdetexte"/>
    <w:locked/>
    <w:rsid w:val="003434FE"/>
    <w:rPr>
      <w:rFonts w:eastAsia="Times New Roman"/>
      <w:sz w:val="20"/>
      <w:szCs w:val="24"/>
    </w:rPr>
  </w:style>
  <w:style w:type="paragraph" w:styleId="Notedebasdepage">
    <w:name w:val="footnote text"/>
    <w:basedOn w:val="Normal"/>
    <w:link w:val="NotedebasdepageCar"/>
    <w:uiPriority w:val="99"/>
    <w:rsid w:val="009B2343"/>
    <w:pPr>
      <w:jc w:val="both"/>
    </w:pPr>
    <w:rPr>
      <w:rFonts w:eastAsia="Times New Roman"/>
      <w:i/>
      <w:sz w:val="18"/>
      <w:szCs w:val="20"/>
      <w:lang w:eastAsia="fr-FR"/>
    </w:rPr>
  </w:style>
  <w:style w:type="character" w:customStyle="1" w:styleId="NotedebasdepageCar">
    <w:name w:val="Note de bas de page Car"/>
    <w:basedOn w:val="Policepardfaut"/>
    <w:link w:val="Notedebasdepage"/>
    <w:uiPriority w:val="99"/>
    <w:locked/>
    <w:rsid w:val="009B2343"/>
    <w:rPr>
      <w:rFonts w:eastAsia="Times New Roman"/>
      <w:i/>
      <w:color w:val="1A171B"/>
      <w:sz w:val="18"/>
      <w:szCs w:val="20"/>
    </w:rPr>
  </w:style>
  <w:style w:type="character" w:styleId="Appelnotedebasdep">
    <w:name w:val="footnote reference"/>
    <w:aliases w:val="Footnote number,SUPERS"/>
    <w:basedOn w:val="Policepardfaut"/>
    <w:uiPriority w:val="99"/>
    <w:rsid w:val="00E12A53"/>
    <w:rPr>
      <w:rFonts w:cs="Times New Roman"/>
      <w:vertAlign w:val="superscript"/>
    </w:rPr>
  </w:style>
  <w:style w:type="character" w:styleId="lev">
    <w:name w:val="Strong"/>
    <w:basedOn w:val="Policepardfaut"/>
    <w:uiPriority w:val="22"/>
    <w:qFormat/>
    <w:rsid w:val="00DE4343"/>
    <w:rPr>
      <w:rFonts w:cs="Times New Roman"/>
      <w:b/>
      <w:sz w:val="20"/>
    </w:rPr>
  </w:style>
  <w:style w:type="paragraph" w:styleId="Listecontinue">
    <w:name w:val="List Continue"/>
    <w:basedOn w:val="Normal"/>
    <w:rsid w:val="00441B06"/>
    <w:pPr>
      <w:numPr>
        <w:numId w:val="4"/>
      </w:numPr>
      <w:spacing w:before="60"/>
      <w:jc w:val="both"/>
    </w:pPr>
    <w:rPr>
      <w:rFonts w:eastAsia="Times New Roman"/>
      <w:color w:val="auto"/>
      <w:szCs w:val="20"/>
      <w:lang w:eastAsia="fr-FR"/>
    </w:rPr>
  </w:style>
  <w:style w:type="paragraph" w:customStyle="1" w:styleId="lattention">
    <w:name w:val="À l'attention"/>
    <w:basedOn w:val="Corpsdetexte"/>
    <w:rsid w:val="00E12A53"/>
    <w:pPr>
      <w:spacing w:before="240"/>
    </w:pPr>
    <w:rPr>
      <w:rFonts w:ascii="Arial" w:eastAsia="Times New Roman" w:hAnsi="Arial"/>
      <w:color w:val="auto"/>
      <w:sz w:val="22"/>
      <w:szCs w:val="20"/>
      <w:lang w:eastAsia="fr-FR"/>
    </w:rPr>
  </w:style>
  <w:style w:type="paragraph" w:styleId="Listepuces">
    <w:name w:val="List Bullet"/>
    <w:basedOn w:val="Normal"/>
    <w:next w:val="Corpsdetexte"/>
    <w:rsid w:val="000103B1"/>
    <w:pPr>
      <w:keepNext/>
      <w:numPr>
        <w:numId w:val="3"/>
      </w:numPr>
      <w:tabs>
        <w:tab w:val="left" w:pos="284"/>
      </w:tabs>
      <w:spacing w:before="120"/>
      <w:ind w:left="284" w:hanging="284"/>
      <w:jc w:val="both"/>
    </w:pPr>
    <w:rPr>
      <w:rFonts w:eastAsia="Times New Roman"/>
      <w:color w:val="auto"/>
      <w:szCs w:val="24"/>
      <w:lang w:eastAsia="fr-FR"/>
    </w:rPr>
  </w:style>
  <w:style w:type="paragraph" w:styleId="Retraitcorpsdetexte2">
    <w:name w:val="Body Text Indent 2"/>
    <w:basedOn w:val="Corpsdetexte2"/>
    <w:link w:val="Retraitcorpsdetexte2Car"/>
    <w:rsid w:val="00DF475D"/>
    <w:pPr>
      <w:spacing w:before="120"/>
      <w:ind w:left="284"/>
    </w:pPr>
    <w:rPr>
      <w:rFonts w:eastAsia="Times New Roman"/>
      <w:color w:val="auto"/>
      <w:szCs w:val="24"/>
      <w:lang w:eastAsia="fr-FR"/>
    </w:rPr>
  </w:style>
  <w:style w:type="character" w:customStyle="1" w:styleId="Retraitcorpsdetexte2Car">
    <w:name w:val="Retrait corps de texte 2 Car"/>
    <w:basedOn w:val="Policepardfaut"/>
    <w:link w:val="Retraitcorpsdetexte2"/>
    <w:locked/>
    <w:rsid w:val="00DF475D"/>
    <w:rPr>
      <w:rFonts w:eastAsia="Times New Roman"/>
      <w:i/>
      <w:sz w:val="20"/>
      <w:szCs w:val="24"/>
    </w:rPr>
  </w:style>
  <w:style w:type="paragraph" w:styleId="Listepuces2">
    <w:name w:val="List Bullet 2"/>
    <w:basedOn w:val="Normal"/>
    <w:rsid w:val="00E12A53"/>
    <w:pPr>
      <w:tabs>
        <w:tab w:val="num" w:pos="643"/>
      </w:tabs>
      <w:ind w:left="643" w:hanging="360"/>
    </w:pPr>
    <w:rPr>
      <w:rFonts w:ascii="Times New Roman" w:eastAsia="Times New Roman" w:hAnsi="Times New Roman"/>
      <w:color w:val="auto"/>
      <w:sz w:val="24"/>
      <w:szCs w:val="24"/>
      <w:lang w:eastAsia="fr-FR"/>
    </w:rPr>
  </w:style>
  <w:style w:type="paragraph" w:styleId="Signature">
    <w:name w:val="Signature"/>
    <w:basedOn w:val="Normal"/>
    <w:link w:val="SignatureCar"/>
    <w:rsid w:val="00E12A53"/>
    <w:pPr>
      <w:spacing w:before="60"/>
      <w:jc w:val="center"/>
    </w:pPr>
    <w:rPr>
      <w:rFonts w:ascii="Times New Roman" w:eastAsia="Times New Roman" w:hAnsi="Times New Roman"/>
      <w:color w:val="auto"/>
      <w:sz w:val="24"/>
      <w:szCs w:val="24"/>
      <w:lang w:eastAsia="fr-FR"/>
    </w:rPr>
  </w:style>
  <w:style w:type="character" w:customStyle="1" w:styleId="SignatureCar">
    <w:name w:val="Signature Car"/>
    <w:basedOn w:val="Policepardfaut"/>
    <w:link w:val="Signature"/>
    <w:locked/>
    <w:rsid w:val="00E12A53"/>
    <w:rPr>
      <w:rFonts w:ascii="Times New Roman" w:hAnsi="Times New Roman" w:cs="Times New Roman"/>
      <w:sz w:val="24"/>
      <w:szCs w:val="24"/>
      <w:lang w:eastAsia="fr-FR"/>
    </w:rPr>
  </w:style>
  <w:style w:type="paragraph" w:styleId="Liste">
    <w:name w:val="List"/>
    <w:basedOn w:val="Normal"/>
    <w:next w:val="Corpsdetexte"/>
    <w:rsid w:val="00E12A53"/>
    <w:pPr>
      <w:numPr>
        <w:ilvl w:val="3"/>
        <w:numId w:val="5"/>
      </w:numPr>
      <w:spacing w:before="240"/>
      <w:jc w:val="center"/>
    </w:pPr>
    <w:rPr>
      <w:rFonts w:ascii="Times New Roman" w:eastAsia="Times New Roman" w:hAnsi="Times New Roman"/>
      <w:b/>
      <w:i/>
      <w:color w:val="auto"/>
      <w:sz w:val="24"/>
      <w:szCs w:val="24"/>
      <w:lang w:eastAsia="fr-FR"/>
    </w:rPr>
  </w:style>
  <w:style w:type="paragraph" w:customStyle="1" w:styleId="Titre4Annexes">
    <w:name w:val="Titre 4 Annexes"/>
    <w:basedOn w:val="Titre4"/>
    <w:next w:val="Corpsdetexte"/>
    <w:qFormat/>
    <w:rsid w:val="00E47F3C"/>
    <w:pPr>
      <w:numPr>
        <w:ilvl w:val="0"/>
        <w:numId w:val="0"/>
      </w:numPr>
    </w:pPr>
  </w:style>
  <w:style w:type="paragraph" w:styleId="Listenumros5">
    <w:name w:val="List Number 5"/>
    <w:basedOn w:val="Normal"/>
    <w:rsid w:val="00E12A53"/>
    <w:pPr>
      <w:tabs>
        <w:tab w:val="num" w:pos="1492"/>
      </w:tabs>
      <w:ind w:left="1492" w:hanging="360"/>
    </w:pPr>
    <w:rPr>
      <w:rFonts w:ascii="Times New Roman" w:eastAsia="Times New Roman" w:hAnsi="Times New Roman"/>
      <w:color w:val="auto"/>
      <w:sz w:val="24"/>
      <w:szCs w:val="24"/>
      <w:lang w:eastAsia="fr-FR"/>
    </w:rPr>
  </w:style>
  <w:style w:type="paragraph" w:styleId="Retrait1religne">
    <w:name w:val="Body Text First Indent"/>
    <w:basedOn w:val="Corpsdetexte"/>
    <w:link w:val="Retrait1religneCar"/>
    <w:rsid w:val="00E12A53"/>
    <w:pPr>
      <w:spacing w:before="0" w:after="120"/>
      <w:ind w:firstLine="210"/>
      <w:jc w:val="left"/>
    </w:pPr>
    <w:rPr>
      <w:rFonts w:ascii="Times New Roman" w:eastAsia="Times New Roman" w:hAnsi="Times New Roman"/>
      <w:color w:val="auto"/>
      <w:sz w:val="24"/>
      <w:szCs w:val="24"/>
      <w:lang w:eastAsia="fr-FR"/>
    </w:rPr>
  </w:style>
  <w:style w:type="character" w:customStyle="1" w:styleId="Retrait1religneCar">
    <w:name w:val="Retrait 1re ligne Car"/>
    <w:basedOn w:val="CorpsdetexteCar"/>
    <w:link w:val="Retrait1religne"/>
    <w:locked/>
    <w:rsid w:val="00E12A53"/>
    <w:rPr>
      <w:rFonts w:ascii="Times New Roman" w:hAnsi="Times New Roman" w:cs="Times New Roman"/>
      <w:color w:val="1A171B"/>
      <w:sz w:val="24"/>
      <w:szCs w:val="24"/>
      <w:lang w:eastAsia="fr-FR"/>
    </w:rPr>
  </w:style>
  <w:style w:type="table" w:styleId="Tableausimple3">
    <w:name w:val="Table Simple 3"/>
    <w:basedOn w:val="TableauNormal"/>
    <w:rsid w:val="00E12A53"/>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Sous-Titre4">
    <w:name w:val="Sous-Titre 4"/>
    <w:basedOn w:val="Normal"/>
    <w:next w:val="Corpsdetexte"/>
    <w:qFormat/>
    <w:rsid w:val="001404A8"/>
    <w:pPr>
      <w:pageBreakBefore/>
      <w:spacing w:after="240"/>
      <w:outlineLvl w:val="0"/>
    </w:pPr>
    <w:rPr>
      <w:rFonts w:asciiTheme="minorHAnsi" w:hAnsiTheme="minorHAnsi"/>
      <w:color w:val="auto"/>
      <w:sz w:val="56"/>
    </w:rPr>
  </w:style>
  <w:style w:type="paragraph" w:styleId="Tabledesillustrations">
    <w:name w:val="table of figures"/>
    <w:basedOn w:val="TM2"/>
    <w:next w:val="Normal"/>
    <w:uiPriority w:val="99"/>
    <w:unhideWhenUsed/>
    <w:rsid w:val="00B1219C"/>
  </w:style>
  <w:style w:type="paragraph" w:customStyle="1" w:styleId="EncadreCorpsdeTexte">
    <w:name w:val="Encadre_Corps_de_Texte"/>
    <w:basedOn w:val="Corpsdetexte"/>
    <w:qFormat/>
    <w:rsid w:val="009556E8"/>
    <w:pPr>
      <w:pBdr>
        <w:top w:val="single" w:sz="8" w:space="12" w:color="000000" w:themeColor="text1"/>
        <w:left w:val="single" w:sz="8" w:space="12" w:color="000000" w:themeColor="text1"/>
        <w:bottom w:val="single" w:sz="8" w:space="12" w:color="000000" w:themeColor="text1"/>
        <w:right w:val="single" w:sz="8" w:space="12" w:color="000000" w:themeColor="text1"/>
      </w:pBdr>
      <w:shd w:val="clear" w:color="auto" w:fill="F2F2F2"/>
      <w:ind w:left="284" w:right="284"/>
    </w:pPr>
    <w:rPr>
      <w:rFonts w:eastAsia="Times New Roman"/>
      <w:color w:val="auto"/>
      <w:szCs w:val="20"/>
      <w:lang w:eastAsia="fr-FR"/>
    </w:rPr>
  </w:style>
  <w:style w:type="paragraph" w:customStyle="1" w:styleId="EncadreLegende">
    <w:name w:val="Encadre_Legende"/>
    <w:basedOn w:val="Lgende"/>
    <w:next w:val="EncadreCorpsdeTexte"/>
    <w:qFormat/>
    <w:rsid w:val="00B31B58"/>
    <w:pPr>
      <w:pBdr>
        <w:top w:val="single" w:sz="8" w:space="12" w:color="96C31E"/>
        <w:left w:val="single" w:sz="8" w:space="12" w:color="96C31E"/>
        <w:bottom w:val="single" w:sz="8" w:space="12" w:color="96C31E"/>
        <w:right w:val="single" w:sz="8" w:space="12" w:color="96C31E"/>
      </w:pBdr>
      <w:shd w:val="clear" w:color="auto" w:fill="F2F2F2" w:themeFill="background1" w:themeFillShade="F2"/>
      <w:ind w:left="641" w:right="284"/>
      <w:jc w:val="both"/>
    </w:pPr>
  </w:style>
  <w:style w:type="paragraph" w:customStyle="1" w:styleId="EncadreSources">
    <w:name w:val="Encadre_Sources"/>
    <w:basedOn w:val="Sources"/>
    <w:next w:val="EncadreCorpsdeTexte"/>
    <w:qFormat/>
    <w:rsid w:val="00B31B58"/>
    <w:pPr>
      <w:pBdr>
        <w:top w:val="single" w:sz="8" w:space="12" w:color="96C31E"/>
        <w:left w:val="single" w:sz="8" w:space="12" w:color="96C31E"/>
        <w:bottom w:val="single" w:sz="8" w:space="12" w:color="96C31E"/>
        <w:right w:val="single" w:sz="8" w:space="12" w:color="96C31E"/>
      </w:pBdr>
      <w:shd w:val="clear" w:color="auto" w:fill="F2F2F2" w:themeFill="background1" w:themeFillShade="F2"/>
      <w:ind w:left="284" w:right="284"/>
    </w:pPr>
  </w:style>
  <w:style w:type="paragraph" w:customStyle="1" w:styleId="EncadreLegendeTitreEncadre">
    <w:name w:val="Encadre_Legende_Titre_Encadre"/>
    <w:basedOn w:val="EncadreLegende"/>
    <w:next w:val="EncadreCorpsdeTexte"/>
    <w:rsid w:val="00673C5A"/>
    <w:pPr>
      <w:numPr>
        <w:numId w:val="0"/>
      </w:numPr>
      <w:ind w:left="284"/>
    </w:pPr>
    <w:rPr>
      <w:b/>
      <w:color w:val="96C31E"/>
      <w:sz w:val="24"/>
    </w:rPr>
  </w:style>
  <w:style w:type="paragraph" w:customStyle="1" w:styleId="CorpsdetexteCentre">
    <w:name w:val="Corps de texte Centre"/>
    <w:basedOn w:val="Corpsdetexte"/>
    <w:next w:val="Corpsdetexte"/>
    <w:qFormat/>
    <w:rsid w:val="009661D3"/>
    <w:pPr>
      <w:jc w:val="center"/>
    </w:pPr>
  </w:style>
  <w:style w:type="paragraph" w:styleId="Paragraphedeliste">
    <w:name w:val="List Paragraph"/>
    <w:aliases w:val="List Paragraph1,Recommendation,List Paragraph11,Reco,Paragraphe de liste serré,Sémaphores Puces,List Paragraph"/>
    <w:basedOn w:val="Normal"/>
    <w:link w:val="ParagraphedelisteCar"/>
    <w:uiPriority w:val="34"/>
    <w:qFormat/>
    <w:rsid w:val="008D004C"/>
    <w:pPr>
      <w:ind w:left="720"/>
      <w:contextualSpacing/>
    </w:pPr>
  </w:style>
  <w:style w:type="character" w:customStyle="1" w:styleId="ParagraphedelisteCar">
    <w:name w:val="Paragraphe de liste Car"/>
    <w:aliases w:val="List Paragraph1 Car,Recommendation Car,List Paragraph11 Car,Reco Car,Paragraphe de liste serré Car,Sémaphores Puces Car,List Paragraph Car"/>
    <w:basedOn w:val="Policepardfaut"/>
    <w:link w:val="Paragraphedeliste"/>
    <w:uiPriority w:val="34"/>
    <w:locked/>
    <w:rsid w:val="0087517F"/>
    <w:rPr>
      <w:color w:val="1A171B"/>
      <w:sz w:val="20"/>
      <w:lang w:eastAsia="en-US"/>
    </w:rPr>
  </w:style>
  <w:style w:type="paragraph" w:customStyle="1" w:styleId="Listepuceslev">
    <w:name w:val="Liste à puces élevé"/>
    <w:basedOn w:val="Listepuces"/>
    <w:next w:val="Corpsdetexte"/>
    <w:qFormat/>
    <w:rsid w:val="000103B1"/>
    <w:pPr>
      <w:keepLines/>
    </w:pPr>
    <w:rPr>
      <w:b/>
    </w:rPr>
  </w:style>
  <w:style w:type="table" w:customStyle="1" w:styleId="Grilledetableauclaire1">
    <w:name w:val="Grille de tableau claire1"/>
    <w:basedOn w:val="TableauNormal"/>
    <w:uiPriority w:val="40"/>
    <w:rsid w:val="004067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rpsdetexteEdito">
    <w:name w:val="Corps de texte Edito"/>
    <w:basedOn w:val="Corpsdetexte"/>
    <w:qFormat/>
    <w:rsid w:val="00837EA6"/>
    <w:rPr>
      <w:b/>
      <w:i/>
    </w:rPr>
  </w:style>
  <w:style w:type="paragraph" w:customStyle="1" w:styleId="EncadreListepuces">
    <w:name w:val="Encadre_Liste_à_puces"/>
    <w:basedOn w:val="EncadreCorpsdeTexte"/>
    <w:next w:val="EncadreCorpsdeTexte"/>
    <w:qFormat/>
    <w:rsid w:val="000103B1"/>
    <w:pPr>
      <w:numPr>
        <w:numId w:val="10"/>
      </w:numPr>
      <w:tabs>
        <w:tab w:val="left" w:pos="284"/>
      </w:tabs>
      <w:ind w:left="568" w:hanging="284"/>
    </w:pPr>
  </w:style>
  <w:style w:type="paragraph" w:customStyle="1" w:styleId="EncadreListepuceslev">
    <w:name w:val="Encadre_Liste_à_puces_élevé"/>
    <w:basedOn w:val="EncadreListepuces"/>
    <w:next w:val="EncadreCorpsdeTexte"/>
    <w:qFormat/>
    <w:rsid w:val="00D53760"/>
    <w:pPr>
      <w:tabs>
        <w:tab w:val="left" w:pos="567"/>
      </w:tabs>
      <w:ind w:left="641" w:hanging="357"/>
    </w:pPr>
    <w:rPr>
      <w:b/>
    </w:rPr>
  </w:style>
  <w:style w:type="paragraph" w:styleId="Formuledepolitesse">
    <w:name w:val="Closing"/>
    <w:basedOn w:val="Normal"/>
    <w:link w:val="FormuledepolitesseCar"/>
    <w:rsid w:val="00C131E7"/>
    <w:pPr>
      <w:ind w:left="4252"/>
    </w:pPr>
    <w:rPr>
      <w:rFonts w:eastAsiaTheme="minorHAnsi" w:cstheme="minorBidi"/>
    </w:rPr>
  </w:style>
  <w:style w:type="character" w:customStyle="1" w:styleId="FormuledepolitesseCar">
    <w:name w:val="Formule de politesse Car"/>
    <w:basedOn w:val="Policepardfaut"/>
    <w:link w:val="Formuledepolitesse"/>
    <w:rsid w:val="00C131E7"/>
    <w:rPr>
      <w:rFonts w:eastAsiaTheme="minorHAnsi" w:cstheme="minorBidi"/>
      <w:color w:val="1A171B"/>
      <w:sz w:val="20"/>
      <w:lang w:eastAsia="en-US"/>
    </w:rPr>
  </w:style>
  <w:style w:type="paragraph" w:styleId="Titredenote">
    <w:name w:val="Note Heading"/>
    <w:basedOn w:val="Normal"/>
    <w:next w:val="Corpsdetexte"/>
    <w:link w:val="TitredenoteCar"/>
    <w:rsid w:val="00C131E7"/>
    <w:pPr>
      <w:tabs>
        <w:tab w:val="left" w:pos="1134"/>
      </w:tabs>
      <w:spacing w:before="60"/>
    </w:pPr>
    <w:rPr>
      <w:rFonts w:eastAsiaTheme="minorHAnsi" w:cstheme="minorBidi"/>
      <w:i/>
      <w:color w:val="5F5F5F"/>
      <w:sz w:val="16"/>
    </w:rPr>
  </w:style>
  <w:style w:type="character" w:customStyle="1" w:styleId="TitredenoteCar">
    <w:name w:val="Titre de note Car"/>
    <w:basedOn w:val="Policepardfaut"/>
    <w:link w:val="Titredenote"/>
    <w:rsid w:val="00C131E7"/>
    <w:rPr>
      <w:rFonts w:eastAsiaTheme="minorHAnsi" w:cstheme="minorBidi"/>
      <w:i/>
      <w:color w:val="5F5F5F"/>
      <w:sz w:val="16"/>
      <w:lang w:eastAsia="en-US"/>
    </w:rPr>
  </w:style>
  <w:style w:type="paragraph" w:styleId="Listepuces5">
    <w:name w:val="List Bullet 5"/>
    <w:basedOn w:val="Normal"/>
    <w:rsid w:val="00C131E7"/>
    <w:pPr>
      <w:numPr>
        <w:numId w:val="6"/>
      </w:numPr>
    </w:pPr>
    <w:rPr>
      <w:rFonts w:eastAsiaTheme="minorHAnsi" w:cstheme="minorBidi"/>
    </w:rPr>
  </w:style>
  <w:style w:type="table" w:styleId="Tableaucolor1">
    <w:name w:val="Table Colorful 1"/>
    <w:basedOn w:val="TableauNormal"/>
    <w:rsid w:val="00C131E7"/>
    <w:pPr>
      <w:jc w:val="center"/>
    </w:pPr>
    <w:rPr>
      <w:rFonts w:ascii="Arial" w:eastAsia="Times New Roman" w:hAnsi="Arial"/>
      <w:sz w:val="16"/>
      <w:szCs w:val="20"/>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rPr>
      <w:jc w:val="center"/>
    </w:trPr>
    <w:tcPr>
      <w:shd w:val="solid" w:color="008080" w:fill="FFFFFF"/>
    </w:tcPr>
    <w:tblStylePr w:type="firstRow">
      <w:pPr>
        <w:wordWrap/>
        <w:jc w:val="center"/>
      </w:pPr>
      <w:rPr>
        <w:rFonts w:ascii="Arial" w:hAnsi="Arial"/>
        <w:b/>
        <w:bCs/>
        <w:i w:val="0"/>
        <w:iCs/>
        <w:color w:val="333333"/>
        <w:sz w:val="16"/>
      </w:rPr>
      <w:tblPr/>
      <w:trPr>
        <w:tblHeader/>
      </w:trPr>
      <w:tcPr>
        <w:tcBorders>
          <w:top w:val="single" w:sz="4" w:space="0" w:color="808080"/>
          <w:left w:val="single" w:sz="4" w:space="0" w:color="808080"/>
          <w:bottom w:val="single" w:sz="4" w:space="0" w:color="808080"/>
          <w:right w:val="single" w:sz="4" w:space="0" w:color="808080"/>
          <w:insideH w:val="single" w:sz="6" w:space="0" w:color="808080"/>
          <w:insideV w:val="single" w:sz="6" w:space="0" w:color="808080"/>
          <w:tl2br w:val="nil"/>
          <w:tr2bl w:val="nil"/>
        </w:tcBorders>
        <w:shd w:val="pct50" w:color="CCFFCC" w:fill="FFFFFF"/>
      </w:tcPr>
    </w:tblStylePr>
    <w:tblStylePr w:type="lastRow">
      <w:rPr>
        <w:rFonts w:ascii="Arial" w:hAnsi="Arial"/>
        <w:sz w:val="16"/>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2" w:color="CCFFFF" w:fill="FFFFFF"/>
      </w:tcPr>
    </w:tblStylePr>
    <w:tblStylePr w:type="firstCol">
      <w:pPr>
        <w:wordWrap/>
        <w:jc w:val="center"/>
      </w:pPr>
      <w:rPr>
        <w:rFonts w:ascii="Arial" w:hAnsi="Arial"/>
        <w:b w:val="0"/>
        <w:bCs/>
        <w:i w:val="0"/>
        <w:iCs/>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lastCol">
      <w:rPr>
        <w:rFonts w:ascii="Arial" w:hAnsi="Arial"/>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band1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2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1Horz">
      <w:rPr>
        <w:rFonts w:ascii="Arial" w:hAnsi="Arial"/>
        <w:sz w:val="16"/>
      </w:rPr>
    </w:tblStylePr>
    <w:tblStylePr w:type="band2Horz">
      <w:rPr>
        <w:rFonts w:ascii="Arial" w:hAnsi="Arial"/>
        <w:sz w:val="16"/>
      </w:rPr>
    </w:tblStylePr>
    <w:tblStylePr w:type="nwCell">
      <w:rPr>
        <w:rFonts w:ascii="Arial" w:hAnsi="Arial"/>
        <w:b/>
        <w:color w:val="333333"/>
        <w:sz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50" w:color="CCFFCC" w:fill="FFFFFF"/>
      </w:tcPr>
    </w:tblStylePr>
    <w:tblStylePr w:type="swCell">
      <w:rPr>
        <w:rFonts w:ascii="Arial" w:hAnsi="Arial"/>
        <w:b w:val="0"/>
        <w:bCs/>
        <w:i w:val="0"/>
        <w:iCs w:val="0"/>
        <w:sz w:val="20"/>
      </w:rPr>
      <w:tblPr/>
      <w:tcPr>
        <w:tcBorders>
          <w:top w:val="single" w:sz="6" w:space="0" w:color="auto"/>
          <w:left w:val="single" w:sz="6" w:space="0" w:color="auto"/>
          <w:bottom w:val="single" w:sz="6" w:space="0" w:color="auto"/>
          <w:right w:val="single" w:sz="6" w:space="0" w:color="auto"/>
          <w:insideH w:val="nil"/>
          <w:insideV w:val="nil"/>
          <w:tl2br w:val="nil"/>
          <w:tr2bl w:val="nil"/>
        </w:tcBorders>
        <w:shd w:val="pct12" w:color="CCFFFF" w:fill="FFFFFF"/>
      </w:tcPr>
    </w:tblStylePr>
  </w:style>
  <w:style w:type="table" w:customStyle="1" w:styleId="Tableau1">
    <w:name w:val="Tableau1"/>
    <w:basedOn w:val="Tableaucolor1"/>
    <w:rsid w:val="00C131E7"/>
    <w:tblPr/>
    <w:tcPr>
      <w:shd w:val="solid" w:color="008080" w:fill="FFFFFF"/>
    </w:tcPr>
    <w:tblStylePr w:type="firstRow">
      <w:pPr>
        <w:wordWrap/>
        <w:jc w:val="center"/>
      </w:pPr>
      <w:rPr>
        <w:rFonts w:ascii="Arial" w:hAnsi="Arial"/>
        <w:b/>
        <w:bCs/>
        <w:i w:val="0"/>
        <w:iCs/>
        <w:color w:val="333333"/>
        <w:sz w:val="16"/>
      </w:rPr>
      <w:tblPr/>
      <w:trPr>
        <w:tblHeader/>
      </w:trPr>
      <w:tcPr>
        <w:tcBorders>
          <w:top w:val="single" w:sz="4" w:space="0" w:color="808080"/>
          <w:left w:val="single" w:sz="4" w:space="0" w:color="808080"/>
          <w:bottom w:val="single" w:sz="4" w:space="0" w:color="808080"/>
          <w:right w:val="single" w:sz="4" w:space="0" w:color="808080"/>
          <w:insideH w:val="single" w:sz="6" w:space="0" w:color="808080"/>
          <w:insideV w:val="single" w:sz="6" w:space="0" w:color="808080"/>
          <w:tl2br w:val="nil"/>
          <w:tr2bl w:val="nil"/>
        </w:tcBorders>
        <w:shd w:val="pct50" w:color="CCFFCC" w:fill="FFFFFF"/>
      </w:tcPr>
    </w:tblStylePr>
    <w:tblStylePr w:type="lastRow">
      <w:rPr>
        <w:rFonts w:ascii="Arial" w:hAnsi="Arial"/>
        <w:sz w:val="16"/>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2" w:color="CCFFFF" w:fill="FFFFFF"/>
      </w:tcPr>
    </w:tblStylePr>
    <w:tblStylePr w:type="firstCol">
      <w:pPr>
        <w:wordWrap/>
        <w:jc w:val="center"/>
      </w:pPr>
      <w:rPr>
        <w:rFonts w:ascii="Arial" w:hAnsi="Arial"/>
        <w:b w:val="0"/>
        <w:bCs/>
        <w:i w:val="0"/>
        <w:iCs/>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lastCol">
      <w:rPr>
        <w:rFonts w:ascii="Arial" w:hAnsi="Arial"/>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band1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2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1Horz">
      <w:rPr>
        <w:rFonts w:ascii="Arial" w:hAnsi="Arial"/>
        <w:sz w:val="16"/>
      </w:rPr>
    </w:tblStylePr>
    <w:tblStylePr w:type="band2Horz">
      <w:rPr>
        <w:rFonts w:ascii="Arial" w:hAnsi="Arial"/>
        <w:sz w:val="16"/>
      </w:rPr>
    </w:tblStylePr>
    <w:tblStylePr w:type="nwCell">
      <w:rPr>
        <w:rFonts w:ascii="Arial" w:hAnsi="Arial"/>
        <w:b/>
        <w:color w:val="333333"/>
        <w:sz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50" w:color="CCFFCC" w:fill="FFFFFF"/>
      </w:tcPr>
    </w:tblStylePr>
    <w:tblStylePr w:type="swCell">
      <w:rPr>
        <w:rFonts w:ascii="Arial" w:hAnsi="Arial"/>
        <w:b w:val="0"/>
        <w:bCs/>
        <w:i w:val="0"/>
        <w:iCs w:val="0"/>
        <w:sz w:val="20"/>
      </w:rPr>
      <w:tblPr/>
      <w:tcPr>
        <w:tcBorders>
          <w:top w:val="single" w:sz="6" w:space="0" w:color="auto"/>
          <w:left w:val="single" w:sz="6" w:space="0" w:color="auto"/>
          <w:bottom w:val="single" w:sz="6" w:space="0" w:color="auto"/>
          <w:right w:val="single" w:sz="6" w:space="0" w:color="auto"/>
          <w:insideH w:val="nil"/>
          <w:insideV w:val="nil"/>
          <w:tl2br w:val="nil"/>
          <w:tr2bl w:val="nil"/>
        </w:tcBorders>
        <w:shd w:val="pct12" w:color="CCFFFF" w:fill="FFFFFF"/>
      </w:tcPr>
    </w:tblStylePr>
  </w:style>
  <w:style w:type="paragraph" w:styleId="Listecontinue3">
    <w:name w:val="List Continue 3"/>
    <w:basedOn w:val="Normal"/>
    <w:rsid w:val="00C131E7"/>
    <w:pPr>
      <w:spacing w:after="120"/>
      <w:ind w:left="849"/>
    </w:pPr>
    <w:rPr>
      <w:rFonts w:eastAsiaTheme="minorHAnsi" w:cstheme="minorBidi"/>
    </w:rPr>
  </w:style>
  <w:style w:type="paragraph" w:styleId="Listecontinue2">
    <w:name w:val="List Continue 2"/>
    <w:basedOn w:val="Corpsdetexte"/>
    <w:uiPriority w:val="99"/>
    <w:unhideWhenUsed/>
    <w:rsid w:val="00441B06"/>
    <w:pPr>
      <w:numPr>
        <w:numId w:val="7"/>
      </w:numPr>
      <w:tabs>
        <w:tab w:val="left" w:pos="567"/>
      </w:tabs>
      <w:spacing w:before="60"/>
      <w:ind w:left="568" w:hanging="284"/>
      <w:contextualSpacing/>
    </w:pPr>
    <w:rPr>
      <w:rFonts w:eastAsiaTheme="minorHAnsi" w:cstheme="minorBidi"/>
    </w:rPr>
  </w:style>
  <w:style w:type="table" w:styleId="Thmedutableau">
    <w:name w:val="Table Theme"/>
    <w:basedOn w:val="TableauNormal"/>
    <w:rsid w:val="00C131E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
    <w:name w:val="Fin"/>
    <w:basedOn w:val="Normal"/>
    <w:next w:val="Normal"/>
    <w:rsid w:val="00C131E7"/>
    <w:pPr>
      <w:spacing w:before="240"/>
      <w:jc w:val="center"/>
    </w:pPr>
    <w:rPr>
      <w:rFonts w:eastAsiaTheme="minorHAnsi" w:cstheme="minorBidi"/>
      <w:color w:val="009BBE"/>
      <w:sz w:val="18"/>
      <w:szCs w:val="20"/>
    </w:rPr>
  </w:style>
  <w:style w:type="table" w:styleId="Grilledetableau2">
    <w:name w:val="Table Grid 2"/>
    <w:basedOn w:val="TableauNormal"/>
    <w:rsid w:val="00C131E7"/>
    <w:rPr>
      <w:rFonts w:ascii="Arial" w:eastAsia="Times New Roman" w:hAnsi="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firstRow">
      <w:pPr>
        <w:wordWrap/>
        <w:jc w:val="center"/>
      </w:pPr>
      <w:rPr>
        <w:rFonts w:ascii="Arial" w:hAnsi="Arial"/>
        <w:b/>
        <w:bCs/>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pct25" w:color="CCFFCC" w:fill="auto"/>
      </w:tcPr>
    </w:tblStylePr>
    <w:tblStylePr w:type="lastRow">
      <w:rPr>
        <w:rFonts w:ascii="Arial" w:hAnsi="Arial"/>
        <w:b w:val="0"/>
        <w:bCs/>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rPr>
        <w:rFonts w:ascii="Arial" w:hAnsi="Arial"/>
        <w:b/>
        <w:bCs/>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lastCol">
      <w:rPr>
        <w:rFonts w:ascii="Arial" w:hAnsi="Arial"/>
        <w:b w:val="0"/>
        <w:bCs/>
        <w:sz w:val="20"/>
      </w:rPr>
      <w:tblPr/>
      <w:tcPr>
        <w:tcBorders>
          <w:tl2br w:val="none" w:sz="0" w:space="0" w:color="auto"/>
          <w:tr2bl w:val="none" w:sz="0" w:space="0" w:color="auto"/>
        </w:tcBorders>
      </w:tcPr>
    </w:tblStylePr>
    <w:tblStylePr w:type="swCell">
      <w:rPr>
        <w:rFonts w:ascii="Arial" w:hAnsi="Arial"/>
        <w:b/>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style>
  <w:style w:type="character" w:customStyle="1" w:styleId="Normal1">
    <w:name w:val="Normal1"/>
    <w:rsid w:val="00C131E7"/>
  </w:style>
  <w:style w:type="paragraph" w:styleId="Notedefin">
    <w:name w:val="endnote text"/>
    <w:basedOn w:val="Normal"/>
    <w:link w:val="NotedefinCar"/>
    <w:rsid w:val="00C131E7"/>
    <w:rPr>
      <w:rFonts w:eastAsiaTheme="minorHAnsi" w:cstheme="minorBidi"/>
      <w:szCs w:val="20"/>
    </w:rPr>
  </w:style>
  <w:style w:type="character" w:customStyle="1" w:styleId="NotedefinCar">
    <w:name w:val="Note de fin Car"/>
    <w:basedOn w:val="Policepardfaut"/>
    <w:link w:val="Notedefin"/>
    <w:rsid w:val="00C131E7"/>
    <w:rPr>
      <w:rFonts w:eastAsiaTheme="minorHAnsi" w:cstheme="minorBidi"/>
      <w:color w:val="1A171B"/>
      <w:sz w:val="20"/>
      <w:szCs w:val="20"/>
      <w:lang w:eastAsia="en-US"/>
    </w:rPr>
  </w:style>
  <w:style w:type="character" w:styleId="Appeldenotedefin">
    <w:name w:val="endnote reference"/>
    <w:basedOn w:val="Policepardfaut"/>
    <w:rsid w:val="00C131E7"/>
    <w:rPr>
      <w:vertAlign w:val="superscript"/>
    </w:rPr>
  </w:style>
  <w:style w:type="paragraph" w:styleId="Retraitnormal">
    <w:name w:val="Normal Indent"/>
    <w:basedOn w:val="Normal"/>
    <w:rsid w:val="00C131E7"/>
    <w:pPr>
      <w:ind w:left="708"/>
    </w:pPr>
    <w:rPr>
      <w:rFonts w:eastAsiaTheme="minorHAnsi" w:cstheme="minorBidi"/>
    </w:rPr>
  </w:style>
  <w:style w:type="paragraph" w:styleId="Signaturelectronique">
    <w:name w:val="E-mail Signature"/>
    <w:basedOn w:val="Normal"/>
    <w:link w:val="SignaturelectroniqueCar"/>
    <w:rsid w:val="00C131E7"/>
    <w:rPr>
      <w:rFonts w:eastAsiaTheme="minorHAnsi" w:cstheme="minorBidi"/>
    </w:rPr>
  </w:style>
  <w:style w:type="character" w:customStyle="1" w:styleId="SignaturelectroniqueCar">
    <w:name w:val="Signature électronique Car"/>
    <w:basedOn w:val="Policepardfaut"/>
    <w:link w:val="Signaturelectronique"/>
    <w:rsid w:val="00C131E7"/>
    <w:rPr>
      <w:rFonts w:eastAsiaTheme="minorHAnsi" w:cstheme="minorBidi"/>
      <w:color w:val="1A171B"/>
      <w:sz w:val="20"/>
      <w:lang w:eastAsia="en-US"/>
    </w:rPr>
  </w:style>
  <w:style w:type="paragraph" w:customStyle="1" w:styleId="Titre2Annexes">
    <w:name w:val="Titre 2 Annexes"/>
    <w:basedOn w:val="Titre2"/>
    <w:next w:val="Corpsdetexte"/>
    <w:qFormat/>
    <w:rsid w:val="00E46FA2"/>
    <w:pPr>
      <w:numPr>
        <w:numId w:val="5"/>
      </w:numPr>
      <w:ind w:left="5245"/>
    </w:pPr>
    <w:rPr>
      <w:b w:val="0"/>
    </w:rPr>
  </w:style>
  <w:style w:type="paragraph" w:customStyle="1" w:styleId="Titre3Annexes">
    <w:name w:val="Titre 3 Annexes"/>
    <w:basedOn w:val="Titre3"/>
    <w:next w:val="Corpsdetexte"/>
    <w:qFormat/>
    <w:rsid w:val="00996695"/>
    <w:pPr>
      <w:numPr>
        <w:ilvl w:val="0"/>
        <w:numId w:val="0"/>
      </w:numPr>
    </w:pPr>
  </w:style>
  <w:style w:type="character" w:styleId="Numrodepage">
    <w:name w:val="page number"/>
    <w:basedOn w:val="Policepardfaut"/>
    <w:locked/>
    <w:rsid w:val="00FF595E"/>
    <w:rPr>
      <w:rFonts w:ascii="Calibri" w:hAnsi="Calibri" w:cs="Times New Roman"/>
      <w:b/>
      <w:color w:val="FFFFFF"/>
      <w:sz w:val="22"/>
    </w:rPr>
  </w:style>
  <w:style w:type="paragraph" w:customStyle="1" w:styleId="EncadreListeContinue">
    <w:name w:val="Encadre_Liste_Continue"/>
    <w:basedOn w:val="EncadreCorpsdeTexte"/>
    <w:qFormat/>
    <w:rsid w:val="0064030A"/>
    <w:pPr>
      <w:numPr>
        <w:numId w:val="8"/>
      </w:numPr>
      <w:tabs>
        <w:tab w:val="left" w:pos="284"/>
      </w:tabs>
      <w:spacing w:before="60"/>
      <w:ind w:left="568" w:hanging="284"/>
    </w:pPr>
  </w:style>
  <w:style w:type="character" w:styleId="Marquedecommentaire">
    <w:name w:val="annotation reference"/>
    <w:basedOn w:val="Policepardfaut"/>
    <w:uiPriority w:val="99"/>
    <w:semiHidden/>
    <w:unhideWhenUsed/>
    <w:rsid w:val="00B851FE"/>
    <w:rPr>
      <w:sz w:val="16"/>
      <w:szCs w:val="16"/>
    </w:rPr>
  </w:style>
  <w:style w:type="paragraph" w:styleId="Commentaire">
    <w:name w:val="annotation text"/>
    <w:basedOn w:val="Normal"/>
    <w:link w:val="CommentaireCar"/>
    <w:uiPriority w:val="99"/>
    <w:unhideWhenUsed/>
    <w:rsid w:val="00B851FE"/>
    <w:rPr>
      <w:szCs w:val="20"/>
    </w:rPr>
  </w:style>
  <w:style w:type="character" w:customStyle="1" w:styleId="CommentaireCar">
    <w:name w:val="Commentaire Car"/>
    <w:basedOn w:val="Policepardfaut"/>
    <w:link w:val="Commentaire"/>
    <w:uiPriority w:val="99"/>
    <w:rsid w:val="00B851FE"/>
    <w:rPr>
      <w:color w:val="1A171B"/>
      <w:sz w:val="20"/>
      <w:szCs w:val="20"/>
      <w:lang w:eastAsia="en-US"/>
    </w:rPr>
  </w:style>
  <w:style w:type="paragraph" w:styleId="Objetducommentaire">
    <w:name w:val="annotation subject"/>
    <w:basedOn w:val="Commentaire"/>
    <w:next w:val="Commentaire"/>
    <w:link w:val="ObjetducommentaireCar"/>
    <w:uiPriority w:val="99"/>
    <w:semiHidden/>
    <w:unhideWhenUsed/>
    <w:rsid w:val="00B851FE"/>
    <w:rPr>
      <w:b/>
      <w:bCs/>
    </w:rPr>
  </w:style>
  <w:style w:type="character" w:customStyle="1" w:styleId="ObjetducommentaireCar">
    <w:name w:val="Objet du commentaire Car"/>
    <w:basedOn w:val="CommentaireCar"/>
    <w:link w:val="Objetducommentaire"/>
    <w:uiPriority w:val="99"/>
    <w:semiHidden/>
    <w:rsid w:val="00B851FE"/>
    <w:rPr>
      <w:b/>
      <w:bCs/>
      <w:color w:val="1A171B"/>
      <w:sz w:val="20"/>
      <w:szCs w:val="20"/>
      <w:lang w:eastAsia="en-US"/>
    </w:rPr>
  </w:style>
  <w:style w:type="paragraph" w:styleId="Rvision">
    <w:name w:val="Revision"/>
    <w:hidden/>
    <w:uiPriority w:val="99"/>
    <w:semiHidden/>
    <w:rsid w:val="00B851FE"/>
    <w:rPr>
      <w:color w:val="1A171B"/>
      <w:sz w:val="20"/>
      <w:lang w:eastAsia="en-US"/>
    </w:rPr>
  </w:style>
  <w:style w:type="paragraph" w:customStyle="1" w:styleId="FaitsMarquantsFaits">
    <w:name w:val="Faits Marquants Faits"/>
    <w:basedOn w:val="Corpsdetexte"/>
    <w:next w:val="Corpsdetexte"/>
    <w:qFormat/>
    <w:rsid w:val="00E31426"/>
    <w:pPr>
      <w:spacing w:before="0" w:after="240"/>
      <w:jc w:val="left"/>
    </w:pPr>
    <w:rPr>
      <w:rFonts w:eastAsia="Times New Roman"/>
      <w:b/>
      <w:caps/>
      <w:color w:val="96C31E"/>
      <w:sz w:val="24"/>
      <w:szCs w:val="20"/>
    </w:rPr>
  </w:style>
  <w:style w:type="paragraph" w:customStyle="1" w:styleId="FaitsMarquantsCorpsdetexte">
    <w:name w:val="Faits Marquants Corps de texte"/>
    <w:basedOn w:val="Corpsdetexte"/>
    <w:qFormat/>
    <w:rsid w:val="00674AB1"/>
    <w:pPr>
      <w:jc w:val="left"/>
    </w:pPr>
    <w:rPr>
      <w:rFonts w:eastAsia="Times New Roman"/>
      <w:szCs w:val="20"/>
    </w:rPr>
  </w:style>
  <w:style w:type="paragraph" w:styleId="En-ttedemessage">
    <w:name w:val="Message Header"/>
    <w:basedOn w:val="Normal"/>
    <w:link w:val="En-ttedemessageCar"/>
    <w:uiPriority w:val="99"/>
    <w:semiHidden/>
    <w:unhideWhenUsed/>
    <w:rsid w:val="00144F9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44F99"/>
    <w:rPr>
      <w:rFonts w:asciiTheme="majorHAnsi" w:eastAsiaTheme="majorEastAsia" w:hAnsiTheme="majorHAnsi" w:cstheme="majorBidi"/>
      <w:color w:val="1A171B"/>
      <w:sz w:val="24"/>
      <w:szCs w:val="24"/>
      <w:shd w:val="pct20" w:color="auto" w:fill="auto"/>
      <w:lang w:eastAsia="en-US"/>
    </w:rPr>
  </w:style>
  <w:style w:type="paragraph" w:customStyle="1" w:styleId="FaitsMarquantsDateMilieuColonne">
    <w:name w:val="Faits Marquants Date Milieu Colonne"/>
    <w:basedOn w:val="FaitsMarquantsDateHautColonne"/>
    <w:next w:val="FaitsMarquantsCorpsdetexte"/>
    <w:qFormat/>
    <w:rsid w:val="00864EF3"/>
    <w:pPr>
      <w:spacing w:before="360"/>
    </w:pPr>
  </w:style>
  <w:style w:type="paragraph" w:customStyle="1" w:styleId="EncadreProposition">
    <w:name w:val="Encadre_Proposition"/>
    <w:basedOn w:val="Lgende"/>
    <w:next w:val="Corpsdetexte"/>
    <w:qFormat/>
    <w:rsid w:val="00D57718"/>
    <w:pPr>
      <w:numPr>
        <w:numId w:val="0"/>
      </w:numPr>
      <w:pBdr>
        <w:top w:val="single" w:sz="8" w:space="12" w:color="E6007D"/>
        <w:left w:val="single" w:sz="8" w:space="12" w:color="E6007D"/>
        <w:bottom w:val="single" w:sz="8" w:space="12" w:color="E6007D"/>
        <w:right w:val="single" w:sz="8" w:space="12" w:color="E6007D"/>
      </w:pBdr>
      <w:shd w:val="clear" w:color="auto" w:fill="F2F2F2"/>
      <w:tabs>
        <w:tab w:val="clear" w:pos="284"/>
        <w:tab w:val="clear" w:pos="425"/>
        <w:tab w:val="clear" w:pos="567"/>
        <w:tab w:val="left" w:pos="8505"/>
      </w:tabs>
      <w:ind w:left="284" w:right="284"/>
    </w:pPr>
    <w:rPr>
      <w:b/>
      <w:i w:val="0"/>
      <w:color w:val="E6007D"/>
    </w:rPr>
  </w:style>
  <w:style w:type="paragraph" w:customStyle="1" w:styleId="EncadrePistedeTravail">
    <w:name w:val="Encadre_Piste_de_Travail"/>
    <w:basedOn w:val="Corpsdetexte"/>
    <w:next w:val="Corpsdetexte"/>
    <w:qFormat/>
    <w:rsid w:val="00D57718"/>
    <w:pPr>
      <w:pBdr>
        <w:top w:val="single" w:sz="8" w:space="12" w:color="009BBE"/>
        <w:left w:val="single" w:sz="8" w:space="12" w:color="009BBE"/>
        <w:bottom w:val="single" w:sz="8" w:space="12" w:color="009BBE"/>
        <w:right w:val="single" w:sz="8" w:space="12" w:color="009BBE"/>
      </w:pBdr>
      <w:shd w:val="clear" w:color="auto" w:fill="F2F2F2"/>
      <w:tabs>
        <w:tab w:val="left" w:pos="8505"/>
      </w:tabs>
      <w:spacing w:before="240" w:after="120"/>
      <w:ind w:left="284" w:right="284"/>
    </w:pPr>
    <w:rPr>
      <w:b/>
      <w:color w:val="009BBE"/>
    </w:rPr>
  </w:style>
  <w:style w:type="paragraph" w:customStyle="1" w:styleId="Annexes1">
    <w:name w:val="Annexes_1"/>
    <w:basedOn w:val="Titre1"/>
    <w:next w:val="Corpsdetexte"/>
    <w:rsid w:val="00AC6D9C"/>
    <w:pPr>
      <w:tabs>
        <w:tab w:val="clear" w:pos="9356"/>
      </w:tabs>
      <w:suppressAutoHyphens w:val="0"/>
      <w:ind w:right="567"/>
    </w:pPr>
  </w:style>
  <w:style w:type="paragraph" w:customStyle="1" w:styleId="Titre1AnStat">
    <w:name w:val="Titre 1 AnStat"/>
    <w:basedOn w:val="Titre1"/>
    <w:next w:val="Corpsdetexte"/>
    <w:qFormat/>
    <w:rsid w:val="00CA0594"/>
    <w:pPr>
      <w:numPr>
        <w:numId w:val="0"/>
      </w:numPr>
      <w:tabs>
        <w:tab w:val="clear" w:pos="9356"/>
      </w:tabs>
      <w:suppressAutoHyphens w:val="0"/>
      <w:spacing w:after="0"/>
      <w:ind w:right="567"/>
    </w:pPr>
    <w:rPr>
      <w:rFonts w:eastAsiaTheme="majorEastAsia" w:cstheme="majorBidi"/>
    </w:rPr>
  </w:style>
  <w:style w:type="paragraph" w:customStyle="1" w:styleId="Titre2AnStat">
    <w:name w:val="Titre 2 AnStat"/>
    <w:basedOn w:val="Titre2"/>
    <w:next w:val="Corpsdetexte"/>
    <w:qFormat/>
    <w:rsid w:val="00AC6D9C"/>
    <w:pPr>
      <w:numPr>
        <w:ilvl w:val="0"/>
        <w:numId w:val="0"/>
      </w:numPr>
      <w:suppressAutoHyphens w:val="0"/>
    </w:pPr>
    <w:rPr>
      <w:rFonts w:eastAsiaTheme="minorHAnsi" w:cstheme="minorBidi"/>
    </w:rPr>
  </w:style>
  <w:style w:type="table" w:customStyle="1" w:styleId="Grilledetableauclaire2">
    <w:name w:val="Grille de tableau claire2"/>
    <w:basedOn w:val="TableauNormal"/>
    <w:uiPriority w:val="40"/>
    <w:rsid w:val="00837E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Policepardfaut"/>
    <w:uiPriority w:val="99"/>
    <w:semiHidden/>
    <w:unhideWhenUsed/>
    <w:rsid w:val="009A7FA3"/>
    <w:rPr>
      <w:color w:val="2B579A"/>
      <w:shd w:val="clear" w:color="auto" w:fill="E6E6E6"/>
    </w:rPr>
  </w:style>
  <w:style w:type="paragraph" w:styleId="Citation">
    <w:name w:val="Quote"/>
    <w:basedOn w:val="Normal"/>
    <w:next w:val="Normal"/>
    <w:link w:val="CitationCar"/>
    <w:uiPriority w:val="29"/>
    <w:qFormat/>
    <w:rsid w:val="00F41F56"/>
    <w:rPr>
      <w:i/>
      <w:iCs/>
      <w:color w:val="000000" w:themeColor="text1"/>
    </w:rPr>
  </w:style>
  <w:style w:type="character" w:customStyle="1" w:styleId="CitationCar">
    <w:name w:val="Citation Car"/>
    <w:basedOn w:val="Policepardfaut"/>
    <w:link w:val="Citation"/>
    <w:uiPriority w:val="29"/>
    <w:rsid w:val="00F41F56"/>
    <w:rPr>
      <w:i/>
      <w:iCs/>
      <w:color w:val="000000" w:themeColor="text1"/>
      <w:sz w:val="20"/>
      <w:lang w:eastAsia="en-US"/>
    </w:rPr>
  </w:style>
  <w:style w:type="paragraph" w:customStyle="1" w:styleId="AnnexeTitre2">
    <w:name w:val="Annexe Titre 2"/>
    <w:basedOn w:val="Titre2"/>
    <w:next w:val="Corpsdetexte"/>
    <w:qFormat/>
    <w:rsid w:val="004D0485"/>
    <w:pPr>
      <w:pageBreakBefore w:val="0"/>
      <w:numPr>
        <w:numId w:val="12"/>
      </w:numPr>
      <w:pBdr>
        <w:bottom w:val="single" w:sz="4" w:space="3" w:color="auto"/>
      </w:pBdr>
      <w:suppressAutoHyphens w:val="0"/>
      <w:spacing w:before="0" w:after="0"/>
      <w:ind w:left="1418" w:hanging="738"/>
    </w:pPr>
    <w:rPr>
      <w:rFonts w:eastAsiaTheme="majorEastAsia" w:cstheme="majorBidi"/>
      <w:bCs/>
      <w:sz w:val="28"/>
      <w:szCs w:val="26"/>
    </w:rPr>
  </w:style>
  <w:style w:type="paragraph" w:styleId="Listenumros">
    <w:name w:val="List Number"/>
    <w:basedOn w:val="Normal"/>
    <w:uiPriority w:val="99"/>
    <w:unhideWhenUsed/>
    <w:rsid w:val="00020A58"/>
    <w:pPr>
      <w:numPr>
        <w:numId w:val="9"/>
      </w:numPr>
      <w:contextualSpacing/>
    </w:pPr>
  </w:style>
  <w:style w:type="paragraph" w:styleId="PrformatHTML">
    <w:name w:val="HTML Preformatted"/>
    <w:basedOn w:val="Normal"/>
    <w:link w:val="PrformatHTMLCar"/>
    <w:uiPriority w:val="99"/>
    <w:semiHidden/>
    <w:unhideWhenUsed/>
    <w:rsid w:val="00B830D9"/>
    <w:rPr>
      <w:rFonts w:ascii="Consolas" w:hAnsi="Consolas" w:cs="Consolas"/>
      <w:szCs w:val="20"/>
    </w:rPr>
  </w:style>
  <w:style w:type="character" w:customStyle="1" w:styleId="PrformatHTMLCar">
    <w:name w:val="Préformaté HTML Car"/>
    <w:basedOn w:val="Policepardfaut"/>
    <w:link w:val="PrformatHTML"/>
    <w:uiPriority w:val="99"/>
    <w:semiHidden/>
    <w:rsid w:val="00B830D9"/>
    <w:rPr>
      <w:rFonts w:ascii="Consolas" w:hAnsi="Consolas" w:cs="Consolas"/>
      <w:color w:val="1A171B"/>
      <w:sz w:val="20"/>
      <w:szCs w:val="20"/>
      <w:lang w:eastAsia="en-US"/>
    </w:rPr>
  </w:style>
  <w:style w:type="table" w:styleId="Ombrageclair">
    <w:name w:val="Light Shading"/>
    <w:basedOn w:val="TableauNormal"/>
    <w:uiPriority w:val="60"/>
    <w:rsid w:val="0002617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moyenne1">
    <w:name w:val="Medium Shading 1"/>
    <w:basedOn w:val="TableauNormal"/>
    <w:uiPriority w:val="63"/>
    <w:rsid w:val="0002617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illeclaire">
    <w:name w:val="Light Grid"/>
    <w:basedOn w:val="TableauNormal"/>
    <w:uiPriority w:val="62"/>
    <w:rsid w:val="000261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ullet1">
    <w:name w:val="Bullet 1"/>
    <w:basedOn w:val="Normal"/>
    <w:link w:val="Bullet1Char"/>
    <w:qFormat/>
    <w:rsid w:val="009A15C8"/>
    <w:pPr>
      <w:numPr>
        <w:numId w:val="13"/>
      </w:numPr>
      <w:jc w:val="both"/>
    </w:pPr>
    <w:rPr>
      <w:rFonts w:asciiTheme="minorHAnsi" w:eastAsiaTheme="minorHAnsi" w:hAnsiTheme="minorHAnsi" w:cstheme="minorBidi"/>
      <w:color w:val="auto"/>
      <w:sz w:val="22"/>
    </w:rPr>
  </w:style>
  <w:style w:type="character" w:customStyle="1" w:styleId="Bullet1Char">
    <w:name w:val="Bullet 1 Char"/>
    <w:basedOn w:val="BodycopyChar"/>
    <w:link w:val="Bullet1"/>
    <w:rsid w:val="00832CA6"/>
    <w:rPr>
      <w:rFonts w:asciiTheme="minorHAnsi" w:eastAsiaTheme="minorHAnsi" w:hAnsiTheme="minorHAnsi" w:cstheme="minorBidi"/>
      <w:lang w:eastAsia="en-US"/>
    </w:rPr>
  </w:style>
  <w:style w:type="character" w:customStyle="1" w:styleId="BodycopyChar">
    <w:name w:val="Body copy Char"/>
    <w:basedOn w:val="Policepardfaut"/>
    <w:link w:val="Bodycopy"/>
    <w:rsid w:val="00B6368E"/>
    <w:rPr>
      <w:rFonts w:asciiTheme="minorHAnsi" w:eastAsiaTheme="minorHAnsi" w:hAnsiTheme="minorHAnsi" w:cstheme="minorBidi"/>
      <w:lang w:eastAsia="en-US"/>
    </w:rPr>
  </w:style>
  <w:style w:type="paragraph" w:customStyle="1" w:styleId="Bodycopy">
    <w:name w:val="Body copy"/>
    <w:basedOn w:val="Normal"/>
    <w:link w:val="BodycopyChar"/>
    <w:qFormat/>
    <w:rsid w:val="00B6368E"/>
    <w:pPr>
      <w:ind w:firstLine="227"/>
      <w:jc w:val="both"/>
    </w:pPr>
    <w:rPr>
      <w:rFonts w:asciiTheme="minorHAnsi" w:eastAsiaTheme="minorHAnsi" w:hAnsiTheme="minorHAnsi" w:cstheme="minorBidi"/>
      <w:color w:val="auto"/>
      <w:sz w:val="22"/>
    </w:rPr>
  </w:style>
  <w:style w:type="paragraph" w:customStyle="1" w:styleId="Bullet2">
    <w:name w:val="Bullet 2"/>
    <w:basedOn w:val="Bullet1"/>
    <w:link w:val="Bullet2Char"/>
    <w:qFormat/>
    <w:rsid w:val="009A15C8"/>
    <w:pPr>
      <w:numPr>
        <w:ilvl w:val="1"/>
      </w:numPr>
      <w:ind w:left="1134"/>
    </w:pPr>
  </w:style>
  <w:style w:type="character" w:customStyle="1" w:styleId="Bullet2Char">
    <w:name w:val="Bullet 2 Char"/>
    <w:basedOn w:val="Bullet1Char"/>
    <w:link w:val="Bullet2"/>
    <w:rsid w:val="005111AC"/>
    <w:rPr>
      <w:rFonts w:asciiTheme="minorHAnsi" w:eastAsiaTheme="minorHAnsi" w:hAnsiTheme="minorHAnsi" w:cstheme="minorBidi"/>
      <w:lang w:eastAsia="en-US"/>
    </w:rPr>
  </w:style>
  <w:style w:type="paragraph" w:customStyle="1" w:styleId="Bullet3">
    <w:name w:val="Bullet 3"/>
    <w:basedOn w:val="Bullet2"/>
    <w:qFormat/>
    <w:rsid w:val="009A15C8"/>
    <w:pPr>
      <w:numPr>
        <w:ilvl w:val="2"/>
      </w:numPr>
    </w:pPr>
  </w:style>
  <w:style w:type="paragraph" w:customStyle="1" w:styleId="Normaltextbold">
    <w:name w:val="Normal text bold"/>
    <w:basedOn w:val="Normal"/>
    <w:qFormat/>
    <w:rsid w:val="00D52533"/>
    <w:pPr>
      <w:ind w:firstLine="227"/>
      <w:jc w:val="both"/>
    </w:pPr>
    <w:rPr>
      <w:rFonts w:asciiTheme="minorHAnsi" w:eastAsiaTheme="minorHAnsi" w:hAnsiTheme="minorHAnsi" w:cstheme="minorBidi"/>
      <w:b/>
      <w:color w:val="auto"/>
      <w:sz w:val="22"/>
    </w:rPr>
  </w:style>
  <w:style w:type="paragraph" w:customStyle="1" w:styleId="AnnexeTitre4">
    <w:name w:val="Annexe Titre 4"/>
    <w:basedOn w:val="Titre4"/>
    <w:next w:val="Corpsdetexte"/>
    <w:qFormat/>
    <w:rsid w:val="00D52533"/>
    <w:pPr>
      <w:numPr>
        <w:ilvl w:val="0"/>
        <w:numId w:val="0"/>
      </w:numPr>
      <w:suppressAutoHyphens w:val="0"/>
      <w:spacing w:before="200"/>
    </w:pPr>
    <w:rPr>
      <w:rFonts w:eastAsiaTheme="majorEastAsia" w:cstheme="majorBidi"/>
      <w:b/>
      <w:bCs/>
      <w:i/>
      <w:iCs/>
      <w:sz w:val="22"/>
      <w:u w:val="single"/>
      <w:lang w:eastAsia="en-US"/>
    </w:rPr>
  </w:style>
  <w:style w:type="paragraph" w:customStyle="1" w:styleId="Annexe">
    <w:name w:val="Annexe"/>
    <w:basedOn w:val="Titre1"/>
    <w:next w:val="Corpsdetexte"/>
    <w:qFormat/>
    <w:rsid w:val="005111AC"/>
    <w:pPr>
      <w:pageBreakBefore w:val="0"/>
      <w:numPr>
        <w:numId w:val="26"/>
      </w:numPr>
      <w:tabs>
        <w:tab w:val="clear" w:pos="9356"/>
      </w:tabs>
      <w:suppressAutoHyphens w:val="0"/>
      <w:spacing w:before="480" w:after="120"/>
      <w:ind w:left="360" w:hanging="432"/>
    </w:pPr>
    <w:rPr>
      <w:rFonts w:eastAsiaTheme="majorEastAsia" w:cstheme="majorBidi"/>
      <w:bCs/>
      <w:sz w:val="40"/>
      <w:szCs w:val="28"/>
    </w:rPr>
  </w:style>
  <w:style w:type="paragraph" w:customStyle="1" w:styleId="AnnexeTitre3">
    <w:name w:val="Annexe Titre 3"/>
    <w:basedOn w:val="Titre3"/>
    <w:next w:val="Corpsdetexte"/>
    <w:qFormat/>
    <w:rsid w:val="00EE12FE"/>
    <w:pPr>
      <w:numPr>
        <w:ilvl w:val="0"/>
        <w:numId w:val="0"/>
      </w:numPr>
      <w:pBdr>
        <w:bottom w:val="single" w:sz="4" w:space="3" w:color="auto"/>
      </w:pBdr>
      <w:spacing w:before="200" w:after="120"/>
      <w:jc w:val="both"/>
    </w:pPr>
    <w:rPr>
      <w:rFonts w:eastAsiaTheme="majorEastAsia" w:cstheme="majorBidi"/>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9"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locked="1" w:uiPriority="0"/>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lsdException w:name="footnote text" w:locked="1"/>
    <w:lsdException w:name="footer" w:locked="1"/>
    <w:lsdException w:name="caption" w:locked="1" w:uiPriority="0" w:qFormat="1"/>
    <w:lsdException w:name="footnote reference" w:locked="1"/>
    <w:lsdException w:name="page number" w:locked="1" w:uiPriority="0"/>
    <w:lsdException w:name="endnote reference" w:uiPriority="0"/>
    <w:lsdException w:name="endnote text" w:uiPriority="0"/>
    <w:lsdException w:name="List" w:locked="1" w:uiPriority="0"/>
    <w:lsdException w:name="List Bullet" w:locked="1" w:uiPriority="0"/>
    <w:lsdException w:name="List Bullet 2" w:locked="1" w:uiPriority="0"/>
    <w:lsdException w:name="List Bullet 5" w:uiPriority="0"/>
    <w:lsdException w:name="List Number 5" w:locked="1" w:uiPriority="0"/>
    <w:lsdException w:name="Title" w:locked="1" w:semiHidden="0" w:uiPriority="10" w:unhideWhenUsed="0" w:qFormat="1"/>
    <w:lsdException w:name="Closing" w:uiPriority="0"/>
    <w:lsdException w:name="Signature" w:locked="1" w:uiPriority="0"/>
    <w:lsdException w:name="Default Paragraph Font" w:locked="1" w:uiPriority="0"/>
    <w:lsdException w:name="Body Text" w:locked="1" w:uiPriority="0"/>
    <w:lsdException w:name="Body Text Indent" w:locked="1" w:uiPriority="0"/>
    <w:lsdException w:name="List Continue" w:locked="1" w:uiPriority="0"/>
    <w:lsdException w:name="List Continue 3" w:uiPriority="0"/>
    <w:lsdException w:name="Subtitle" w:locked="1" w:semiHidden="0" w:uiPriority="0" w:unhideWhenUsed="0" w:qFormat="1"/>
    <w:lsdException w:name="Body Text First Indent" w:locked="1" w:semiHidden="0" w:uiPriority="0" w:unhideWhenUsed="0"/>
    <w:lsdException w:name="Note Heading" w:uiPriority="0"/>
    <w:lsdException w:name="Body Text 2" w:locked="1" w:uiPriority="0"/>
    <w:lsdException w:name="Body Text 3" w:locked="1" w:uiPriority="0"/>
    <w:lsdException w:name="Body Text Indent 2" w:locked="1" w:uiPriority="0"/>
    <w:lsdException w:name="FollowedHyperlink" w:locked="1"/>
    <w:lsdException w:name="Strong" w:locked="1" w:semiHidden="0" w:uiPriority="22" w:unhideWhenUsed="0" w:qFormat="1"/>
    <w:lsdException w:name="Emphasis" w:locked="1" w:semiHidden="0" w:uiPriority="0" w:unhideWhenUsed="0" w:qFormat="1"/>
    <w:lsdException w:name="Document Map" w:locked="1" w:uiPriority="0"/>
    <w:lsdException w:name="Plain Text" w:locked="1"/>
    <w:lsdException w:name="E-mail Signature" w:uiPriority="0"/>
    <w:lsdException w:name="Normal (Web)" w:locked="1"/>
    <w:lsdException w:name="No List" w:locked="1"/>
    <w:lsdException w:name="Table Simple 3" w:locked="1" w:uiPriority="0"/>
    <w:lsdException w:name="Table Colorful 1" w:uiPriority="0"/>
    <w:lsdException w:name="Table Grid 1" w:locked="1" w:uiPriority="0"/>
    <w:lsdException w:name="Table Grid 2" w:uiPriority="0"/>
    <w:lsdException w:name="Balloon Text" w:locked="1" w:uiPriority="0"/>
    <w:lsdException w:name="Table Grid" w:locked="1" w:uiPriority="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21C"/>
    <w:rPr>
      <w:color w:val="1A171B"/>
      <w:sz w:val="20"/>
      <w:lang w:eastAsia="en-US"/>
    </w:rPr>
  </w:style>
  <w:style w:type="paragraph" w:styleId="Titre1">
    <w:name w:val="heading 1"/>
    <w:basedOn w:val="Normal"/>
    <w:next w:val="Corpsdetexte"/>
    <w:link w:val="Titre1Car"/>
    <w:qFormat/>
    <w:rsid w:val="00457DAD"/>
    <w:pPr>
      <w:keepNext/>
      <w:keepLines/>
      <w:pageBreakBefore/>
      <w:numPr>
        <w:numId w:val="1"/>
      </w:numPr>
      <w:tabs>
        <w:tab w:val="right" w:pos="9356"/>
      </w:tabs>
      <w:suppressAutoHyphens/>
      <w:spacing w:before="960" w:after="960"/>
      <w:outlineLvl w:val="0"/>
    </w:pPr>
    <w:rPr>
      <w:rFonts w:asciiTheme="minorHAnsi" w:eastAsia="Times New Roman" w:hAnsiTheme="minorHAnsi"/>
      <w:b/>
      <w:color w:val="auto"/>
      <w:sz w:val="72"/>
      <w:szCs w:val="32"/>
    </w:rPr>
  </w:style>
  <w:style w:type="paragraph" w:styleId="Titre2">
    <w:name w:val="heading 2"/>
    <w:basedOn w:val="Normal"/>
    <w:next w:val="Corpsdetexte"/>
    <w:link w:val="Titre2Car"/>
    <w:qFormat/>
    <w:rsid w:val="00780ADA"/>
    <w:pPr>
      <w:keepNext/>
      <w:keepLines/>
      <w:pageBreakBefore/>
      <w:numPr>
        <w:ilvl w:val="1"/>
        <w:numId w:val="1"/>
      </w:numPr>
      <w:suppressAutoHyphens/>
      <w:spacing w:before="480" w:after="240"/>
      <w:outlineLvl w:val="1"/>
    </w:pPr>
    <w:rPr>
      <w:b/>
      <w:color w:val="auto"/>
      <w:sz w:val="40"/>
    </w:rPr>
  </w:style>
  <w:style w:type="paragraph" w:styleId="Titre3">
    <w:name w:val="heading 3"/>
    <w:basedOn w:val="Normal"/>
    <w:next w:val="Corpsdetexte"/>
    <w:link w:val="Titre3Car"/>
    <w:qFormat/>
    <w:rsid w:val="00780ADA"/>
    <w:pPr>
      <w:keepNext/>
      <w:keepLines/>
      <w:numPr>
        <w:ilvl w:val="2"/>
        <w:numId w:val="1"/>
      </w:numPr>
      <w:spacing w:before="240" w:after="240"/>
      <w:outlineLvl w:val="2"/>
    </w:pPr>
    <w:rPr>
      <w:color w:val="auto"/>
      <w:sz w:val="28"/>
    </w:rPr>
  </w:style>
  <w:style w:type="paragraph" w:styleId="Titre4">
    <w:name w:val="heading 4"/>
    <w:basedOn w:val="Normal"/>
    <w:next w:val="Corpsdetexte"/>
    <w:link w:val="Titre4Car"/>
    <w:uiPriority w:val="9"/>
    <w:qFormat/>
    <w:rsid w:val="00862898"/>
    <w:pPr>
      <w:keepNext/>
      <w:keepLines/>
      <w:numPr>
        <w:ilvl w:val="3"/>
        <w:numId w:val="1"/>
      </w:numPr>
      <w:suppressAutoHyphens/>
      <w:spacing w:before="240" w:after="120"/>
      <w:outlineLvl w:val="3"/>
    </w:pPr>
    <w:rPr>
      <w:color w:val="auto"/>
      <w:sz w:val="24"/>
      <w:lang w:eastAsia="fr-FR"/>
    </w:rPr>
  </w:style>
  <w:style w:type="paragraph" w:styleId="Titre5">
    <w:name w:val="heading 5"/>
    <w:basedOn w:val="Titre4"/>
    <w:next w:val="Corpsdetexte"/>
    <w:link w:val="Titre5Car"/>
    <w:qFormat/>
    <w:rsid w:val="00862898"/>
    <w:pPr>
      <w:numPr>
        <w:ilvl w:val="4"/>
      </w:numPr>
      <w:ind w:left="0"/>
      <w:outlineLvl w:val="4"/>
    </w:pPr>
    <w:rPr>
      <w:b/>
      <w:i/>
      <w:sz w:val="21"/>
    </w:rPr>
  </w:style>
  <w:style w:type="paragraph" w:styleId="Titre6">
    <w:name w:val="heading 6"/>
    <w:basedOn w:val="Titre5"/>
    <w:next w:val="Corpsdetexte"/>
    <w:link w:val="Titre6Car"/>
    <w:qFormat/>
    <w:rsid w:val="00DB6CB6"/>
    <w:pPr>
      <w:numPr>
        <w:ilvl w:val="5"/>
      </w:numPr>
      <w:outlineLvl w:val="5"/>
    </w:pPr>
  </w:style>
  <w:style w:type="paragraph" w:styleId="Titre7">
    <w:name w:val="heading 7"/>
    <w:basedOn w:val="Titre6"/>
    <w:next w:val="Normal"/>
    <w:link w:val="Titre7Car"/>
    <w:qFormat/>
    <w:rsid w:val="00DB6CB6"/>
    <w:pPr>
      <w:numPr>
        <w:ilvl w:val="6"/>
      </w:numPr>
      <w:outlineLvl w:val="6"/>
    </w:pPr>
  </w:style>
  <w:style w:type="paragraph" w:styleId="Titre8">
    <w:name w:val="heading 8"/>
    <w:basedOn w:val="Normal"/>
    <w:next w:val="Normal"/>
    <w:link w:val="Titre8Car"/>
    <w:qFormat/>
    <w:rsid w:val="00301C0A"/>
    <w:pPr>
      <w:keepNext/>
      <w:keepLines/>
      <w:numPr>
        <w:ilvl w:val="7"/>
        <w:numId w:val="1"/>
      </w:numPr>
      <w:spacing w:before="40"/>
      <w:outlineLvl w:val="7"/>
    </w:pPr>
    <w:rPr>
      <w:rFonts w:ascii="Calibri Light" w:eastAsia="Times New Roman" w:hAnsi="Calibri Light"/>
      <w:color w:val="272727"/>
      <w:sz w:val="21"/>
      <w:szCs w:val="21"/>
    </w:rPr>
  </w:style>
  <w:style w:type="paragraph" w:styleId="Titre9">
    <w:name w:val="heading 9"/>
    <w:basedOn w:val="Normal"/>
    <w:next w:val="Normal"/>
    <w:link w:val="Titre9Car"/>
    <w:qFormat/>
    <w:rsid w:val="00301C0A"/>
    <w:pPr>
      <w:keepNext/>
      <w:keepLines/>
      <w:spacing w:before="4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7C7B76"/>
    <w:pPr>
      <w:keepLines/>
      <w:spacing w:before="120"/>
      <w:jc w:val="both"/>
    </w:pPr>
  </w:style>
  <w:style w:type="character" w:customStyle="1" w:styleId="CorpsdetexteCar">
    <w:name w:val="Corps de texte Car"/>
    <w:basedOn w:val="Policepardfaut"/>
    <w:link w:val="Corpsdetexte"/>
    <w:locked/>
    <w:rsid w:val="007C7B76"/>
    <w:rPr>
      <w:color w:val="1A171B"/>
      <w:sz w:val="20"/>
      <w:lang w:eastAsia="en-US"/>
    </w:rPr>
  </w:style>
  <w:style w:type="character" w:customStyle="1" w:styleId="Titre1Car">
    <w:name w:val="Titre 1 Car"/>
    <w:basedOn w:val="Policepardfaut"/>
    <w:link w:val="Titre1"/>
    <w:locked/>
    <w:rsid w:val="00457DAD"/>
    <w:rPr>
      <w:rFonts w:asciiTheme="minorHAnsi" w:eastAsia="Times New Roman" w:hAnsiTheme="minorHAnsi"/>
      <w:b/>
      <w:sz w:val="72"/>
      <w:szCs w:val="32"/>
      <w:lang w:eastAsia="en-US"/>
    </w:rPr>
  </w:style>
  <w:style w:type="character" w:customStyle="1" w:styleId="Titre2Car">
    <w:name w:val="Titre 2 Car"/>
    <w:basedOn w:val="Policepardfaut"/>
    <w:link w:val="Titre2"/>
    <w:locked/>
    <w:rsid w:val="00780ADA"/>
    <w:rPr>
      <w:b/>
      <w:sz w:val="40"/>
      <w:lang w:eastAsia="en-US"/>
    </w:rPr>
  </w:style>
  <w:style w:type="character" w:customStyle="1" w:styleId="Titre3Car">
    <w:name w:val="Titre 3 Car"/>
    <w:basedOn w:val="Policepardfaut"/>
    <w:link w:val="Titre3"/>
    <w:locked/>
    <w:rsid w:val="00780ADA"/>
    <w:rPr>
      <w:sz w:val="28"/>
      <w:lang w:eastAsia="en-US"/>
    </w:rPr>
  </w:style>
  <w:style w:type="character" w:customStyle="1" w:styleId="Titre4Car">
    <w:name w:val="Titre 4 Car"/>
    <w:basedOn w:val="Policepardfaut"/>
    <w:link w:val="Titre4"/>
    <w:uiPriority w:val="9"/>
    <w:locked/>
    <w:rsid w:val="00862898"/>
    <w:rPr>
      <w:sz w:val="24"/>
    </w:rPr>
  </w:style>
  <w:style w:type="character" w:customStyle="1" w:styleId="Titre5Car">
    <w:name w:val="Titre 5 Car"/>
    <w:basedOn w:val="Policepardfaut"/>
    <w:link w:val="Titre5"/>
    <w:locked/>
    <w:rsid w:val="00862898"/>
    <w:rPr>
      <w:b/>
      <w:i/>
      <w:sz w:val="21"/>
    </w:rPr>
  </w:style>
  <w:style w:type="character" w:customStyle="1" w:styleId="Titre6Car">
    <w:name w:val="Titre 6 Car"/>
    <w:basedOn w:val="Policepardfaut"/>
    <w:link w:val="Titre6"/>
    <w:locked/>
    <w:rsid w:val="00DB6CB6"/>
    <w:rPr>
      <w:b/>
      <w:i/>
      <w:sz w:val="21"/>
    </w:rPr>
  </w:style>
  <w:style w:type="character" w:customStyle="1" w:styleId="Titre7Car">
    <w:name w:val="Titre 7 Car"/>
    <w:basedOn w:val="Policepardfaut"/>
    <w:link w:val="Titre7"/>
    <w:locked/>
    <w:rsid w:val="00DB6CB6"/>
    <w:rPr>
      <w:b/>
      <w:i/>
      <w:sz w:val="21"/>
    </w:rPr>
  </w:style>
  <w:style w:type="character" w:customStyle="1" w:styleId="Titre8Car">
    <w:name w:val="Titre 8 Car"/>
    <w:basedOn w:val="Policepardfaut"/>
    <w:link w:val="Titre8"/>
    <w:locked/>
    <w:rsid w:val="00301C0A"/>
    <w:rPr>
      <w:rFonts w:ascii="Calibri Light" w:eastAsia="Times New Roman" w:hAnsi="Calibri Light"/>
      <w:color w:val="272727"/>
      <w:sz w:val="21"/>
      <w:szCs w:val="21"/>
      <w:lang w:eastAsia="en-US"/>
    </w:rPr>
  </w:style>
  <w:style w:type="character" w:customStyle="1" w:styleId="Titre9Car">
    <w:name w:val="Titre 9 Car"/>
    <w:basedOn w:val="Policepardfaut"/>
    <w:link w:val="Titre9"/>
    <w:locked/>
    <w:rsid w:val="00301C0A"/>
    <w:rPr>
      <w:rFonts w:ascii="Calibri Light" w:eastAsia="Times New Roman" w:hAnsi="Calibri Light" w:cs="Times New Roman"/>
      <w:i/>
      <w:iCs/>
      <w:color w:val="272727"/>
      <w:sz w:val="21"/>
      <w:szCs w:val="21"/>
      <w:lang w:val="fr-FR" w:eastAsia="en-US" w:bidi="ar-SA"/>
    </w:rPr>
  </w:style>
  <w:style w:type="paragraph" w:styleId="Textedebulles">
    <w:name w:val="Balloon Text"/>
    <w:basedOn w:val="Normal"/>
    <w:link w:val="TextedebullesCar"/>
    <w:rsid w:val="00D869E2"/>
    <w:rPr>
      <w:rFonts w:ascii="Segoe UI" w:hAnsi="Segoe UI" w:cs="Segoe UI"/>
      <w:sz w:val="18"/>
      <w:szCs w:val="18"/>
    </w:rPr>
  </w:style>
  <w:style w:type="character" w:customStyle="1" w:styleId="TextedebullesCar">
    <w:name w:val="Texte de bulles Car"/>
    <w:basedOn w:val="Policepardfaut"/>
    <w:link w:val="Textedebulles"/>
    <w:locked/>
    <w:rsid w:val="00D869E2"/>
    <w:rPr>
      <w:rFonts w:ascii="Segoe UI" w:hAnsi="Segoe UI" w:cs="Segoe UI"/>
      <w:sz w:val="18"/>
      <w:szCs w:val="18"/>
    </w:rPr>
  </w:style>
  <w:style w:type="paragraph" w:styleId="En-tte">
    <w:name w:val="header"/>
    <w:basedOn w:val="Normal"/>
    <w:link w:val="En-tteCar"/>
    <w:uiPriority w:val="99"/>
    <w:rsid w:val="001E27A6"/>
    <w:pPr>
      <w:tabs>
        <w:tab w:val="center" w:pos="4536"/>
        <w:tab w:val="right" w:pos="9072"/>
      </w:tabs>
      <w:ind w:left="-567" w:right="-567"/>
    </w:pPr>
  </w:style>
  <w:style w:type="character" w:customStyle="1" w:styleId="En-tteCar">
    <w:name w:val="En-tête Car"/>
    <w:basedOn w:val="Policepardfaut"/>
    <w:link w:val="En-tte"/>
    <w:uiPriority w:val="99"/>
    <w:locked/>
    <w:rsid w:val="001E27A6"/>
    <w:rPr>
      <w:color w:val="1A171B"/>
      <w:sz w:val="20"/>
      <w:lang w:eastAsia="en-US"/>
    </w:rPr>
  </w:style>
  <w:style w:type="paragraph" w:styleId="Pieddepage">
    <w:name w:val="footer"/>
    <w:basedOn w:val="Normal"/>
    <w:link w:val="PieddepageCar"/>
    <w:uiPriority w:val="99"/>
    <w:rsid w:val="009508E8"/>
    <w:pPr>
      <w:tabs>
        <w:tab w:val="center" w:pos="4536"/>
        <w:tab w:val="right" w:pos="9072"/>
      </w:tabs>
      <w:ind w:left="-567" w:right="-567"/>
      <w:jc w:val="right"/>
    </w:pPr>
    <w:rPr>
      <w:color w:val="auto"/>
    </w:rPr>
  </w:style>
  <w:style w:type="character" w:customStyle="1" w:styleId="PieddepageCar">
    <w:name w:val="Pied de page Car"/>
    <w:basedOn w:val="Policepardfaut"/>
    <w:link w:val="Pieddepage"/>
    <w:uiPriority w:val="99"/>
    <w:locked/>
    <w:rsid w:val="009508E8"/>
    <w:rPr>
      <w:sz w:val="20"/>
      <w:lang w:eastAsia="en-US"/>
    </w:rPr>
  </w:style>
  <w:style w:type="paragraph" w:styleId="Lgende">
    <w:name w:val="caption"/>
    <w:basedOn w:val="Normal"/>
    <w:next w:val="Corpsdetexte"/>
    <w:link w:val="LgendeCar"/>
    <w:qFormat/>
    <w:rsid w:val="00C36ED3"/>
    <w:pPr>
      <w:keepNext/>
      <w:keepLines/>
      <w:numPr>
        <w:numId w:val="2"/>
      </w:numPr>
      <w:tabs>
        <w:tab w:val="left" w:pos="284"/>
        <w:tab w:val="left" w:pos="425"/>
        <w:tab w:val="left" w:pos="567"/>
      </w:tabs>
      <w:spacing w:before="240" w:after="120"/>
    </w:pPr>
    <w:rPr>
      <w:i/>
      <w:iCs/>
      <w:szCs w:val="18"/>
    </w:rPr>
  </w:style>
  <w:style w:type="character" w:customStyle="1" w:styleId="LgendeCar">
    <w:name w:val="Légende Car"/>
    <w:basedOn w:val="Policepardfaut"/>
    <w:link w:val="Lgende"/>
    <w:locked/>
    <w:rsid w:val="00C36ED3"/>
    <w:rPr>
      <w:i/>
      <w:iCs/>
      <w:color w:val="1A171B"/>
      <w:sz w:val="20"/>
      <w:szCs w:val="18"/>
      <w:lang w:eastAsia="en-US"/>
    </w:rPr>
  </w:style>
  <w:style w:type="character" w:styleId="Titredulivre">
    <w:name w:val="Book Title"/>
    <w:basedOn w:val="Policepardfaut"/>
    <w:uiPriority w:val="33"/>
    <w:qFormat/>
    <w:rsid w:val="00D035C0"/>
    <w:rPr>
      <w:bCs/>
      <w:iCs/>
      <w:color w:val="auto"/>
      <w:spacing w:val="5"/>
      <w:sz w:val="72"/>
    </w:rPr>
  </w:style>
  <w:style w:type="paragraph" w:styleId="Titre">
    <w:name w:val="Title"/>
    <w:basedOn w:val="Normal"/>
    <w:next w:val="Corpsdetexte2"/>
    <w:link w:val="TitreCar"/>
    <w:uiPriority w:val="10"/>
    <w:qFormat/>
    <w:rsid w:val="009556E8"/>
    <w:pPr>
      <w:contextualSpacing/>
      <w:jc w:val="right"/>
    </w:pPr>
    <w:rPr>
      <w:rFonts w:eastAsia="Times New Roman"/>
      <w:color w:val="auto"/>
      <w:spacing w:val="-10"/>
      <w:kern w:val="28"/>
      <w:sz w:val="80"/>
      <w:szCs w:val="56"/>
    </w:rPr>
  </w:style>
  <w:style w:type="paragraph" w:styleId="Corpsdetexte2">
    <w:name w:val="Body Text 2"/>
    <w:basedOn w:val="Normal"/>
    <w:link w:val="Corpsdetexte2Car"/>
    <w:rsid w:val="008358C8"/>
    <w:pPr>
      <w:spacing w:before="60"/>
      <w:jc w:val="both"/>
    </w:pPr>
    <w:rPr>
      <w:i/>
    </w:rPr>
  </w:style>
  <w:style w:type="character" w:customStyle="1" w:styleId="Corpsdetexte2Car">
    <w:name w:val="Corps de texte 2 Car"/>
    <w:basedOn w:val="Policepardfaut"/>
    <w:link w:val="Corpsdetexte2"/>
    <w:locked/>
    <w:rsid w:val="008358C8"/>
    <w:rPr>
      <w:i/>
      <w:color w:val="1A171B"/>
      <w:sz w:val="20"/>
      <w:lang w:eastAsia="en-US"/>
    </w:rPr>
  </w:style>
  <w:style w:type="character" w:customStyle="1" w:styleId="TitreCar">
    <w:name w:val="Titre Car"/>
    <w:basedOn w:val="Policepardfaut"/>
    <w:link w:val="Titre"/>
    <w:uiPriority w:val="10"/>
    <w:locked/>
    <w:rsid w:val="009556E8"/>
    <w:rPr>
      <w:rFonts w:eastAsia="Times New Roman"/>
      <w:spacing w:val="-10"/>
      <w:kern w:val="28"/>
      <w:sz w:val="80"/>
      <w:szCs w:val="56"/>
      <w:lang w:eastAsia="en-US"/>
    </w:rPr>
  </w:style>
  <w:style w:type="paragraph" w:styleId="Sous-titre">
    <w:name w:val="Subtitle"/>
    <w:basedOn w:val="Normal"/>
    <w:next w:val="Normal"/>
    <w:link w:val="Sous-titreCar"/>
    <w:qFormat/>
    <w:rsid w:val="009556E8"/>
    <w:pPr>
      <w:numPr>
        <w:ilvl w:val="1"/>
      </w:numPr>
      <w:spacing w:before="240" w:after="240"/>
      <w:jc w:val="right"/>
    </w:pPr>
    <w:rPr>
      <w:rFonts w:eastAsia="Times New Roman"/>
      <w:b/>
      <w:color w:val="auto"/>
      <w:spacing w:val="15"/>
      <w:sz w:val="84"/>
    </w:rPr>
  </w:style>
  <w:style w:type="character" w:customStyle="1" w:styleId="Sous-titreCar">
    <w:name w:val="Sous-titre Car"/>
    <w:basedOn w:val="Policepardfaut"/>
    <w:link w:val="Sous-titre"/>
    <w:locked/>
    <w:rsid w:val="009556E8"/>
    <w:rPr>
      <w:rFonts w:eastAsia="Times New Roman"/>
      <w:b/>
      <w:spacing w:val="15"/>
      <w:sz w:val="84"/>
      <w:lang w:eastAsia="en-US"/>
    </w:rPr>
  </w:style>
  <w:style w:type="paragraph" w:customStyle="1" w:styleId="Sous-Titre2">
    <w:name w:val="Sous-Titre 2"/>
    <w:basedOn w:val="Normal"/>
    <w:next w:val="Corpsdetexte"/>
    <w:qFormat/>
    <w:rsid w:val="00C127E6"/>
    <w:pPr>
      <w:jc w:val="right"/>
    </w:pPr>
    <w:rPr>
      <w:color w:val="auto"/>
      <w:sz w:val="28"/>
    </w:rPr>
  </w:style>
  <w:style w:type="paragraph" w:styleId="Corpsdetexte3">
    <w:name w:val="Body Text 3"/>
    <w:basedOn w:val="Normal"/>
    <w:link w:val="Corpsdetexte3Car"/>
    <w:rsid w:val="00E12A53"/>
    <w:pPr>
      <w:spacing w:after="120"/>
    </w:pPr>
    <w:rPr>
      <w:sz w:val="16"/>
      <w:szCs w:val="16"/>
    </w:rPr>
  </w:style>
  <w:style w:type="character" w:customStyle="1" w:styleId="Corpsdetexte3Car">
    <w:name w:val="Corps de texte 3 Car"/>
    <w:basedOn w:val="Policepardfaut"/>
    <w:link w:val="Corpsdetexte3"/>
    <w:locked/>
    <w:rsid w:val="00E12A53"/>
    <w:rPr>
      <w:rFonts w:ascii="Calibri" w:hAnsi="Calibri" w:cs="Times New Roman"/>
      <w:color w:val="1A171B"/>
      <w:sz w:val="16"/>
      <w:szCs w:val="16"/>
    </w:rPr>
  </w:style>
  <w:style w:type="table" w:styleId="Grilledutableau">
    <w:name w:val="Table Grid"/>
    <w:basedOn w:val="TableauNormal"/>
    <w:rsid w:val="00E31426"/>
    <w:pPr>
      <w:spacing w:before="120"/>
    </w:pPr>
    <w:rPr>
      <w:rFonts w:eastAsia="Times New Roman"/>
      <w:sz w:val="20"/>
      <w:szCs w:val="20"/>
    </w:rPr>
    <w:tblPr>
      <w:tblBorders>
        <w:insideV w:val="single" w:sz="4" w:space="0" w:color="auto"/>
      </w:tblBorders>
      <w:tblCellMar>
        <w:left w:w="227" w:type="dxa"/>
        <w:right w:w="227" w:type="dxa"/>
      </w:tblCellMar>
    </w:tblPr>
    <w:tblStylePr w:type="firstCol">
      <w:rPr>
        <w:rFonts w:ascii="Times New Roman" w:hAnsi="Times New Roman" w:cs="Times New Roman"/>
        <w:sz w:val="24"/>
      </w:rPr>
      <w:tblPr/>
      <w:tcPr>
        <w:tcBorders>
          <w:top w:val="nil"/>
          <w:left w:val="nil"/>
          <w:bottom w:val="nil"/>
          <w:right w:val="nil"/>
          <w:insideH w:val="nil"/>
          <w:insideV w:val="nil"/>
          <w:tl2br w:val="nil"/>
          <w:tr2bl w:val="nil"/>
        </w:tcBorders>
      </w:tcPr>
    </w:tblStylePr>
  </w:style>
  <w:style w:type="character" w:styleId="Lienhypertexte">
    <w:name w:val="Hyperlink"/>
    <w:basedOn w:val="Policepardfaut"/>
    <w:uiPriority w:val="99"/>
    <w:rsid w:val="00E12A53"/>
    <w:rPr>
      <w:rFonts w:cs="Times New Roman"/>
      <w:color w:val="0000FF"/>
      <w:u w:val="single"/>
    </w:rPr>
  </w:style>
  <w:style w:type="table" w:styleId="Grilledetableau1">
    <w:name w:val="Table Grid 1"/>
    <w:basedOn w:val="TableauNormal"/>
    <w:rsid w:val="00E12A53"/>
    <w:pPr>
      <w:keepNext/>
      <w:keepLines/>
      <w:jc w:val="center"/>
    </w:pPr>
    <w:rPr>
      <w:rFonts w:ascii="Times New Roman" w:eastAsia="Times New Roman" w:hAnsi="Times New Roman"/>
      <w:b/>
      <w:i/>
      <w:sz w:val="24"/>
      <w:szCs w:val="20"/>
    </w:rPr>
    <w:tblPr>
      <w:tblStyleRowBandSize w:val="1"/>
      <w:tblStyleColBandSize w:val="1"/>
      <w:jc w:val="center"/>
      <w:tblCellMar>
        <w:left w:w="0" w:type="dxa"/>
        <w:right w:w="0" w:type="dxa"/>
      </w:tblCellMar>
    </w:tblPr>
    <w:trPr>
      <w:jc w:val="center"/>
    </w:trPr>
    <w:tblStylePr w:type="firstRow">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lastRow">
      <w:rPr>
        <w:rFonts w:cs="Times New Roman"/>
        <w:i/>
        <w:iCs/>
      </w:rPr>
      <w:tblPr/>
      <w:tcPr>
        <w:tcBorders>
          <w:tl2br w:val="none" w:sz="0" w:space="0" w:color="auto"/>
          <w:tr2bl w:val="none" w:sz="0" w:space="0" w:color="auto"/>
        </w:tcBorders>
      </w:tcPr>
    </w:tblStylePr>
    <w:tblStylePr w:type="lastCol">
      <w:rPr>
        <w:rFonts w:ascii="Times New Roman" w:hAnsi="Times New Roman" w:cs="Times New Roman"/>
        <w:i/>
        <w:iCs/>
        <w:sz w:val="24"/>
      </w:rPr>
      <w:tblPr/>
      <w:tcPr>
        <w:tcBorders>
          <w:top w:val="nil"/>
          <w:left w:val="nil"/>
          <w:bottom w:val="nil"/>
          <w:right w:val="nil"/>
          <w:insideH w:val="nil"/>
          <w:insideV w:val="nil"/>
          <w:tl2br w:val="nil"/>
          <w:tr2bl w:val="nil"/>
        </w:tcBorders>
        <w:shd w:val="clear" w:color="auto" w:fill="auto"/>
      </w:tcPr>
    </w:tblStylePr>
    <w:tblStylePr w:type="band1Vert">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band2Vert">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band1Horz">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tblStylePr w:type="band2Horz">
      <w:rPr>
        <w:rFonts w:ascii="Times New Roman" w:hAnsi="Times New Roman" w:cs="Times New Roman"/>
        <w:sz w:val="24"/>
      </w:rPr>
      <w:tblPr/>
      <w:tcPr>
        <w:tcBorders>
          <w:top w:val="nil"/>
          <w:left w:val="nil"/>
          <w:bottom w:val="nil"/>
          <w:right w:val="nil"/>
          <w:insideH w:val="nil"/>
          <w:insideV w:val="nil"/>
          <w:tl2br w:val="nil"/>
          <w:tr2bl w:val="nil"/>
        </w:tcBorders>
        <w:shd w:val="clear" w:color="auto" w:fill="auto"/>
      </w:tcPr>
    </w:tblStylePr>
  </w:style>
  <w:style w:type="paragraph" w:styleId="En-ttedetabledesmatires">
    <w:name w:val="TOC Heading"/>
    <w:basedOn w:val="Sous-Titre3"/>
    <w:next w:val="Normal"/>
    <w:uiPriority w:val="39"/>
    <w:unhideWhenUsed/>
    <w:qFormat/>
    <w:rsid w:val="001E27A6"/>
    <w:pPr>
      <w:pageBreakBefore w:val="0"/>
    </w:pPr>
    <w:rPr>
      <w:color w:val="auto"/>
      <w:sz w:val="56"/>
    </w:rPr>
  </w:style>
  <w:style w:type="paragraph" w:customStyle="1" w:styleId="Sous-Titre3">
    <w:name w:val="Sous-Titre 3"/>
    <w:basedOn w:val="Normal"/>
    <w:next w:val="Corpsdetexte"/>
    <w:qFormat/>
    <w:rsid w:val="00CA0594"/>
    <w:pPr>
      <w:pageBreakBefore/>
      <w:spacing w:after="240"/>
    </w:pPr>
    <w:rPr>
      <w:rFonts w:asciiTheme="minorHAnsi" w:hAnsiTheme="minorHAnsi"/>
      <w:color w:val="7D7D7D"/>
      <w:sz w:val="96"/>
    </w:rPr>
  </w:style>
  <w:style w:type="paragraph" w:styleId="TM2">
    <w:name w:val="toc 2"/>
    <w:basedOn w:val="Normal"/>
    <w:next w:val="Corpsdetexte"/>
    <w:autoRedefine/>
    <w:uiPriority w:val="39"/>
    <w:qFormat/>
    <w:rsid w:val="00450148"/>
    <w:pPr>
      <w:tabs>
        <w:tab w:val="right" w:pos="9356"/>
      </w:tabs>
      <w:spacing w:before="60"/>
      <w:ind w:left="284"/>
    </w:pPr>
    <w:rPr>
      <w:rFonts w:eastAsia="Times New Roman"/>
      <w:b/>
      <w:bCs/>
      <w:noProof/>
      <w:color w:val="auto"/>
      <w:sz w:val="22"/>
      <w:szCs w:val="24"/>
      <w:u w:color="000000" w:themeColor="text1"/>
      <w:lang w:eastAsia="fr-FR"/>
    </w:rPr>
  </w:style>
  <w:style w:type="paragraph" w:customStyle="1" w:styleId="FaitsMarquantsDateHautColonne">
    <w:name w:val="Faits Marquants Date Haut Colonne"/>
    <w:basedOn w:val="Corpsdetexte"/>
    <w:next w:val="Corpsdetexte"/>
    <w:qFormat/>
    <w:rsid w:val="003352D7"/>
    <w:pPr>
      <w:shd w:val="clear" w:color="auto" w:fill="009BBE"/>
      <w:spacing w:after="120"/>
      <w:jc w:val="left"/>
    </w:pPr>
    <w:rPr>
      <w:rFonts w:eastAsia="Times New Roman"/>
      <w:b/>
      <w:caps/>
      <w:color w:val="FFFFFF" w:themeColor="background1"/>
      <w:sz w:val="22"/>
      <w:szCs w:val="20"/>
    </w:rPr>
  </w:style>
  <w:style w:type="paragraph" w:styleId="TM4">
    <w:name w:val="toc 4"/>
    <w:basedOn w:val="Normal"/>
    <w:next w:val="Corpsdetexte"/>
    <w:autoRedefine/>
    <w:uiPriority w:val="39"/>
    <w:rsid w:val="001074CF"/>
    <w:pPr>
      <w:tabs>
        <w:tab w:val="left" w:pos="9129"/>
      </w:tabs>
      <w:ind w:left="851" w:right="567"/>
    </w:pPr>
    <w:rPr>
      <w:i/>
      <w:noProof/>
      <w:sz w:val="22"/>
    </w:rPr>
  </w:style>
  <w:style w:type="paragraph" w:styleId="TM5">
    <w:name w:val="toc 5"/>
    <w:basedOn w:val="Normal"/>
    <w:next w:val="Normal"/>
    <w:autoRedefine/>
    <w:uiPriority w:val="39"/>
    <w:rsid w:val="00E12A53"/>
    <w:pPr>
      <w:ind w:left="960"/>
    </w:pPr>
    <w:rPr>
      <w:rFonts w:ascii="Times New Roman" w:eastAsia="Times New Roman" w:hAnsi="Times New Roman"/>
      <w:color w:val="auto"/>
      <w:szCs w:val="20"/>
      <w:lang w:eastAsia="fr-FR"/>
    </w:rPr>
  </w:style>
  <w:style w:type="paragraph" w:styleId="TM6">
    <w:name w:val="toc 6"/>
    <w:basedOn w:val="Normal"/>
    <w:next w:val="Normal"/>
    <w:autoRedefine/>
    <w:uiPriority w:val="39"/>
    <w:rsid w:val="00E12A53"/>
    <w:pPr>
      <w:ind w:left="1200"/>
    </w:pPr>
    <w:rPr>
      <w:rFonts w:ascii="Times New Roman" w:eastAsia="Times New Roman" w:hAnsi="Times New Roman"/>
      <w:color w:val="auto"/>
      <w:szCs w:val="20"/>
      <w:lang w:eastAsia="fr-FR"/>
    </w:rPr>
  </w:style>
  <w:style w:type="paragraph" w:styleId="TM7">
    <w:name w:val="toc 7"/>
    <w:basedOn w:val="Normal"/>
    <w:next w:val="Normal"/>
    <w:autoRedefine/>
    <w:uiPriority w:val="39"/>
    <w:rsid w:val="00E12A53"/>
    <w:pPr>
      <w:ind w:left="1440"/>
    </w:pPr>
    <w:rPr>
      <w:rFonts w:ascii="Times New Roman" w:eastAsia="Times New Roman" w:hAnsi="Times New Roman"/>
      <w:color w:val="auto"/>
      <w:szCs w:val="20"/>
      <w:lang w:eastAsia="fr-FR"/>
    </w:rPr>
  </w:style>
  <w:style w:type="paragraph" w:styleId="TM8">
    <w:name w:val="toc 8"/>
    <w:basedOn w:val="Normal"/>
    <w:next w:val="Corpsdetexte"/>
    <w:autoRedefine/>
    <w:uiPriority w:val="39"/>
    <w:rsid w:val="00597F2D"/>
    <w:pPr>
      <w:pBdr>
        <w:top w:val="single" w:sz="8" w:space="12" w:color="E6007D"/>
        <w:left w:val="single" w:sz="8" w:space="12" w:color="E6007D"/>
        <w:bottom w:val="single" w:sz="8" w:space="12" w:color="E6007D"/>
        <w:right w:val="single" w:sz="8" w:space="12" w:color="E6007D"/>
      </w:pBdr>
      <w:shd w:val="clear" w:color="auto" w:fill="F2F2F2"/>
      <w:tabs>
        <w:tab w:val="left" w:leader="dot" w:pos="8789"/>
      </w:tabs>
      <w:spacing w:before="240"/>
      <w:ind w:left="284" w:right="284"/>
    </w:pPr>
    <w:rPr>
      <w:rFonts w:eastAsia="Times New Roman"/>
      <w:b/>
      <w:color w:val="E6007D"/>
      <w:szCs w:val="20"/>
      <w:lang w:eastAsia="fr-FR"/>
    </w:rPr>
  </w:style>
  <w:style w:type="paragraph" w:styleId="TM9">
    <w:name w:val="toc 9"/>
    <w:basedOn w:val="Normal"/>
    <w:next w:val="Normal"/>
    <w:autoRedefine/>
    <w:uiPriority w:val="39"/>
    <w:rsid w:val="00597F2D"/>
    <w:pPr>
      <w:pBdr>
        <w:top w:val="single" w:sz="8" w:space="12" w:color="009BBE"/>
        <w:left w:val="single" w:sz="8" w:space="12" w:color="009BBE"/>
        <w:bottom w:val="single" w:sz="8" w:space="12" w:color="009BBE"/>
        <w:right w:val="single" w:sz="8" w:space="12" w:color="009BBE"/>
      </w:pBdr>
      <w:shd w:val="clear" w:color="auto" w:fill="F2F2F2"/>
      <w:tabs>
        <w:tab w:val="left" w:leader="dot" w:pos="8789"/>
        <w:tab w:val="right" w:pos="9344"/>
      </w:tabs>
      <w:spacing w:before="240"/>
      <w:ind w:left="284" w:right="284"/>
    </w:pPr>
    <w:rPr>
      <w:rFonts w:eastAsia="Times New Roman"/>
      <w:b/>
      <w:color w:val="009BBE"/>
      <w:szCs w:val="20"/>
      <w:lang w:eastAsia="fr-FR"/>
    </w:rPr>
  </w:style>
  <w:style w:type="paragraph" w:styleId="TM3">
    <w:name w:val="toc 3"/>
    <w:basedOn w:val="Normal"/>
    <w:next w:val="Corpsdetexte"/>
    <w:autoRedefine/>
    <w:uiPriority w:val="39"/>
    <w:qFormat/>
    <w:rsid w:val="001E27A6"/>
    <w:pPr>
      <w:tabs>
        <w:tab w:val="right" w:pos="9355"/>
      </w:tabs>
      <w:ind w:left="567"/>
    </w:pPr>
    <w:rPr>
      <w:rFonts w:eastAsia="Times New Roman"/>
      <w:color w:val="auto"/>
      <w:sz w:val="22"/>
      <w:szCs w:val="20"/>
      <w:lang w:eastAsia="fr-FR"/>
    </w:rPr>
  </w:style>
  <w:style w:type="paragraph" w:styleId="TM1">
    <w:name w:val="toc 1"/>
    <w:basedOn w:val="Normal"/>
    <w:next w:val="Corpsdetexte"/>
    <w:autoRedefine/>
    <w:uiPriority w:val="39"/>
    <w:qFormat/>
    <w:rsid w:val="00C354D5"/>
    <w:pPr>
      <w:tabs>
        <w:tab w:val="right" w:pos="9356"/>
      </w:tabs>
      <w:spacing w:before="120" w:after="60"/>
    </w:pPr>
    <w:rPr>
      <w:rFonts w:eastAsia="Times New Roman"/>
      <w:b/>
      <w:bCs/>
      <w:iCs/>
      <w:caps/>
      <w:noProof/>
      <w:color w:val="auto"/>
      <w:sz w:val="24"/>
      <w:szCs w:val="28"/>
      <w:lang w:eastAsia="fr-FR"/>
    </w:rPr>
  </w:style>
  <w:style w:type="paragraph" w:styleId="Explorateurdedocuments">
    <w:name w:val="Document Map"/>
    <w:basedOn w:val="Normal"/>
    <w:link w:val="ExplorateurdedocumentsCar"/>
    <w:rsid w:val="00E12A53"/>
    <w:pPr>
      <w:shd w:val="clear" w:color="auto" w:fill="000080"/>
    </w:pPr>
    <w:rPr>
      <w:rFonts w:ascii="Tahoma" w:eastAsia="Times New Roman" w:hAnsi="Tahoma" w:cs="Tahoma"/>
      <w:color w:val="auto"/>
      <w:szCs w:val="20"/>
      <w:lang w:eastAsia="fr-FR"/>
    </w:rPr>
  </w:style>
  <w:style w:type="character" w:customStyle="1" w:styleId="ExplorateurdedocumentsCar">
    <w:name w:val="Explorateur de documents Car"/>
    <w:basedOn w:val="Policepardfaut"/>
    <w:link w:val="Explorateurdedocuments"/>
    <w:locked/>
    <w:rsid w:val="00E12A53"/>
    <w:rPr>
      <w:rFonts w:ascii="Tahoma" w:hAnsi="Tahoma" w:cs="Tahoma"/>
      <w:sz w:val="20"/>
      <w:szCs w:val="20"/>
      <w:shd w:val="clear" w:color="auto" w:fill="000080"/>
      <w:lang w:eastAsia="fr-FR"/>
    </w:rPr>
  </w:style>
  <w:style w:type="paragraph" w:styleId="Index1">
    <w:name w:val="index 1"/>
    <w:basedOn w:val="Normal"/>
    <w:next w:val="Normal"/>
    <w:autoRedefine/>
    <w:rsid w:val="00E12A53"/>
    <w:pPr>
      <w:ind w:left="240" w:hanging="240"/>
    </w:pPr>
    <w:rPr>
      <w:rFonts w:ascii="Times New Roman" w:eastAsia="Times New Roman" w:hAnsi="Times New Roman"/>
      <w:color w:val="auto"/>
      <w:sz w:val="24"/>
      <w:szCs w:val="24"/>
      <w:lang w:eastAsia="fr-FR"/>
    </w:rPr>
  </w:style>
  <w:style w:type="paragraph" w:customStyle="1" w:styleId="RfetAdresse">
    <w:name w:val="Réf. et Adresse"/>
    <w:basedOn w:val="Normal"/>
    <w:rsid w:val="00E12A53"/>
    <w:rPr>
      <w:rFonts w:ascii="Loptima" w:eastAsia="Times New Roman" w:hAnsi="Loptima"/>
      <w:color w:val="auto"/>
      <w:sz w:val="24"/>
      <w:szCs w:val="20"/>
      <w:lang w:eastAsia="fr-FR"/>
    </w:rPr>
  </w:style>
  <w:style w:type="paragraph" w:styleId="Textebrut">
    <w:name w:val="Plain Text"/>
    <w:basedOn w:val="Normal"/>
    <w:link w:val="TextebrutCar"/>
    <w:uiPriority w:val="99"/>
    <w:rsid w:val="00E12A53"/>
    <w:rPr>
      <w:rFonts w:ascii="Courier New" w:eastAsia="Times New Roman" w:hAnsi="Courier New" w:cs="Courier New"/>
      <w:color w:val="auto"/>
      <w:szCs w:val="20"/>
      <w:lang w:eastAsia="fr-FR"/>
    </w:rPr>
  </w:style>
  <w:style w:type="character" w:customStyle="1" w:styleId="TextebrutCar">
    <w:name w:val="Texte brut Car"/>
    <w:basedOn w:val="Policepardfaut"/>
    <w:link w:val="Textebrut"/>
    <w:uiPriority w:val="99"/>
    <w:locked/>
    <w:rsid w:val="00E12A53"/>
    <w:rPr>
      <w:rFonts w:ascii="Courier New" w:hAnsi="Courier New" w:cs="Courier New"/>
      <w:sz w:val="20"/>
      <w:szCs w:val="20"/>
      <w:lang w:eastAsia="fr-FR"/>
    </w:rPr>
  </w:style>
  <w:style w:type="paragraph" w:customStyle="1" w:styleId="Corpsdelalettre">
    <w:name w:val="Corps de la lettre"/>
    <w:basedOn w:val="Normal"/>
    <w:rsid w:val="00E12A53"/>
    <w:pPr>
      <w:ind w:firstLine="851"/>
      <w:jc w:val="both"/>
    </w:pPr>
    <w:rPr>
      <w:rFonts w:ascii="Loptima" w:eastAsia="Times New Roman" w:hAnsi="Loptima"/>
      <w:color w:val="auto"/>
      <w:sz w:val="24"/>
      <w:szCs w:val="20"/>
      <w:lang w:eastAsia="fr-FR"/>
    </w:rPr>
  </w:style>
  <w:style w:type="paragraph" w:customStyle="1" w:styleId="Sources">
    <w:name w:val="Sources"/>
    <w:basedOn w:val="Normal"/>
    <w:next w:val="Corpsdetexte"/>
    <w:link w:val="SourcesCar"/>
    <w:qFormat/>
    <w:rsid w:val="005229FE"/>
    <w:pPr>
      <w:tabs>
        <w:tab w:val="left" w:pos="1134"/>
        <w:tab w:val="left" w:pos="2268"/>
        <w:tab w:val="left" w:pos="3402"/>
      </w:tabs>
      <w:spacing w:before="60"/>
    </w:pPr>
    <w:rPr>
      <w:rFonts w:eastAsia="Times New Roman"/>
      <w:i/>
      <w:color w:val="auto"/>
      <w:sz w:val="16"/>
      <w:szCs w:val="24"/>
      <w:lang w:eastAsia="fr-FR"/>
    </w:rPr>
  </w:style>
  <w:style w:type="character" w:customStyle="1" w:styleId="SourcesCar">
    <w:name w:val="Sources Car"/>
    <w:link w:val="Sources"/>
    <w:locked/>
    <w:rsid w:val="005229FE"/>
    <w:rPr>
      <w:rFonts w:eastAsia="Times New Roman"/>
      <w:i/>
      <w:sz w:val="16"/>
      <w:szCs w:val="24"/>
    </w:rPr>
  </w:style>
  <w:style w:type="paragraph" w:customStyle="1" w:styleId="Default">
    <w:name w:val="Default"/>
    <w:rsid w:val="00E12A53"/>
    <w:pPr>
      <w:autoSpaceDE w:val="0"/>
      <w:autoSpaceDN w:val="0"/>
      <w:adjustRightInd w:val="0"/>
    </w:pPr>
    <w:rPr>
      <w:rFonts w:ascii="Times New Roman" w:eastAsia="Times New Roman" w:hAnsi="Times New Roman"/>
      <w:color w:val="000000"/>
      <w:sz w:val="24"/>
      <w:szCs w:val="24"/>
    </w:rPr>
  </w:style>
  <w:style w:type="character" w:styleId="Lienhypertextesuivivisit">
    <w:name w:val="FollowedHyperlink"/>
    <w:basedOn w:val="Policepardfaut"/>
    <w:uiPriority w:val="99"/>
    <w:rsid w:val="00E12A53"/>
    <w:rPr>
      <w:rFonts w:cs="Times New Roman"/>
      <w:color w:val="800080"/>
      <w:u w:val="single"/>
    </w:rPr>
  </w:style>
  <w:style w:type="paragraph" w:styleId="NormalWeb">
    <w:name w:val="Normal (Web)"/>
    <w:basedOn w:val="Normal"/>
    <w:uiPriority w:val="99"/>
    <w:rsid w:val="00E12A53"/>
    <w:pPr>
      <w:spacing w:before="100" w:beforeAutospacing="1" w:after="100" w:afterAutospacing="1"/>
    </w:pPr>
    <w:rPr>
      <w:rFonts w:ascii="Times New Roman" w:eastAsia="Times New Roman" w:hAnsi="Times New Roman"/>
      <w:color w:val="auto"/>
      <w:sz w:val="24"/>
      <w:szCs w:val="24"/>
      <w:lang w:eastAsia="fr-FR"/>
    </w:rPr>
  </w:style>
  <w:style w:type="character" w:styleId="Accentuation">
    <w:name w:val="Emphasis"/>
    <w:basedOn w:val="Policepardfaut"/>
    <w:qFormat/>
    <w:rsid w:val="00E12A53"/>
    <w:rPr>
      <w:rFonts w:cs="Times New Roman"/>
      <w:i/>
    </w:rPr>
  </w:style>
  <w:style w:type="paragraph" w:styleId="Retraitcorpsdetexte">
    <w:name w:val="Body Text Indent"/>
    <w:basedOn w:val="Corpsdetexte"/>
    <w:link w:val="RetraitcorpsdetexteCar"/>
    <w:rsid w:val="003434FE"/>
    <w:pPr>
      <w:ind w:left="284"/>
    </w:pPr>
    <w:rPr>
      <w:rFonts w:eastAsia="Times New Roman"/>
      <w:color w:val="auto"/>
      <w:szCs w:val="24"/>
      <w:lang w:eastAsia="fr-FR"/>
    </w:rPr>
  </w:style>
  <w:style w:type="character" w:customStyle="1" w:styleId="RetraitcorpsdetexteCar">
    <w:name w:val="Retrait corps de texte Car"/>
    <w:basedOn w:val="Policepardfaut"/>
    <w:link w:val="Retraitcorpsdetexte"/>
    <w:locked/>
    <w:rsid w:val="003434FE"/>
    <w:rPr>
      <w:rFonts w:eastAsia="Times New Roman"/>
      <w:sz w:val="20"/>
      <w:szCs w:val="24"/>
    </w:rPr>
  </w:style>
  <w:style w:type="paragraph" w:styleId="Notedebasdepage">
    <w:name w:val="footnote text"/>
    <w:basedOn w:val="Normal"/>
    <w:link w:val="NotedebasdepageCar"/>
    <w:uiPriority w:val="99"/>
    <w:rsid w:val="009B2343"/>
    <w:pPr>
      <w:jc w:val="both"/>
    </w:pPr>
    <w:rPr>
      <w:rFonts w:eastAsia="Times New Roman"/>
      <w:i/>
      <w:sz w:val="18"/>
      <w:szCs w:val="20"/>
      <w:lang w:eastAsia="fr-FR"/>
    </w:rPr>
  </w:style>
  <w:style w:type="character" w:customStyle="1" w:styleId="NotedebasdepageCar">
    <w:name w:val="Note de bas de page Car"/>
    <w:basedOn w:val="Policepardfaut"/>
    <w:link w:val="Notedebasdepage"/>
    <w:uiPriority w:val="99"/>
    <w:locked/>
    <w:rsid w:val="009B2343"/>
    <w:rPr>
      <w:rFonts w:eastAsia="Times New Roman"/>
      <w:i/>
      <w:color w:val="1A171B"/>
      <w:sz w:val="18"/>
      <w:szCs w:val="20"/>
    </w:rPr>
  </w:style>
  <w:style w:type="character" w:styleId="Appelnotedebasdep">
    <w:name w:val="footnote reference"/>
    <w:aliases w:val="Footnote number,SUPERS"/>
    <w:basedOn w:val="Policepardfaut"/>
    <w:uiPriority w:val="99"/>
    <w:rsid w:val="00E12A53"/>
    <w:rPr>
      <w:rFonts w:cs="Times New Roman"/>
      <w:vertAlign w:val="superscript"/>
    </w:rPr>
  </w:style>
  <w:style w:type="character" w:styleId="lev">
    <w:name w:val="Strong"/>
    <w:basedOn w:val="Policepardfaut"/>
    <w:uiPriority w:val="22"/>
    <w:qFormat/>
    <w:rsid w:val="00DE4343"/>
    <w:rPr>
      <w:rFonts w:cs="Times New Roman"/>
      <w:b/>
      <w:sz w:val="20"/>
    </w:rPr>
  </w:style>
  <w:style w:type="paragraph" w:styleId="Listecontinue">
    <w:name w:val="List Continue"/>
    <w:basedOn w:val="Normal"/>
    <w:rsid w:val="00441B06"/>
    <w:pPr>
      <w:numPr>
        <w:numId w:val="4"/>
      </w:numPr>
      <w:spacing w:before="60"/>
      <w:jc w:val="both"/>
    </w:pPr>
    <w:rPr>
      <w:rFonts w:eastAsia="Times New Roman"/>
      <w:color w:val="auto"/>
      <w:szCs w:val="20"/>
      <w:lang w:eastAsia="fr-FR"/>
    </w:rPr>
  </w:style>
  <w:style w:type="paragraph" w:customStyle="1" w:styleId="lattention">
    <w:name w:val="À l'attention"/>
    <w:basedOn w:val="Corpsdetexte"/>
    <w:rsid w:val="00E12A53"/>
    <w:pPr>
      <w:spacing w:before="240"/>
    </w:pPr>
    <w:rPr>
      <w:rFonts w:ascii="Arial" w:eastAsia="Times New Roman" w:hAnsi="Arial"/>
      <w:color w:val="auto"/>
      <w:sz w:val="22"/>
      <w:szCs w:val="20"/>
      <w:lang w:eastAsia="fr-FR"/>
    </w:rPr>
  </w:style>
  <w:style w:type="paragraph" w:styleId="Listepuces">
    <w:name w:val="List Bullet"/>
    <w:basedOn w:val="Normal"/>
    <w:next w:val="Corpsdetexte"/>
    <w:rsid w:val="000103B1"/>
    <w:pPr>
      <w:keepNext/>
      <w:numPr>
        <w:numId w:val="3"/>
      </w:numPr>
      <w:tabs>
        <w:tab w:val="left" w:pos="284"/>
      </w:tabs>
      <w:spacing w:before="120"/>
      <w:ind w:left="284" w:hanging="284"/>
      <w:jc w:val="both"/>
    </w:pPr>
    <w:rPr>
      <w:rFonts w:eastAsia="Times New Roman"/>
      <w:color w:val="auto"/>
      <w:szCs w:val="24"/>
      <w:lang w:eastAsia="fr-FR"/>
    </w:rPr>
  </w:style>
  <w:style w:type="paragraph" w:styleId="Retraitcorpsdetexte2">
    <w:name w:val="Body Text Indent 2"/>
    <w:basedOn w:val="Corpsdetexte2"/>
    <w:link w:val="Retraitcorpsdetexte2Car"/>
    <w:rsid w:val="00DF475D"/>
    <w:pPr>
      <w:spacing w:before="120"/>
      <w:ind w:left="284"/>
    </w:pPr>
    <w:rPr>
      <w:rFonts w:eastAsia="Times New Roman"/>
      <w:color w:val="auto"/>
      <w:szCs w:val="24"/>
      <w:lang w:eastAsia="fr-FR"/>
    </w:rPr>
  </w:style>
  <w:style w:type="character" w:customStyle="1" w:styleId="Retraitcorpsdetexte2Car">
    <w:name w:val="Retrait corps de texte 2 Car"/>
    <w:basedOn w:val="Policepardfaut"/>
    <w:link w:val="Retraitcorpsdetexte2"/>
    <w:locked/>
    <w:rsid w:val="00DF475D"/>
    <w:rPr>
      <w:rFonts w:eastAsia="Times New Roman"/>
      <w:i/>
      <w:sz w:val="20"/>
      <w:szCs w:val="24"/>
    </w:rPr>
  </w:style>
  <w:style w:type="paragraph" w:styleId="Listepuces2">
    <w:name w:val="List Bullet 2"/>
    <w:basedOn w:val="Normal"/>
    <w:rsid w:val="00E12A53"/>
    <w:pPr>
      <w:tabs>
        <w:tab w:val="num" w:pos="643"/>
      </w:tabs>
      <w:ind w:left="643" w:hanging="360"/>
    </w:pPr>
    <w:rPr>
      <w:rFonts w:ascii="Times New Roman" w:eastAsia="Times New Roman" w:hAnsi="Times New Roman"/>
      <w:color w:val="auto"/>
      <w:sz w:val="24"/>
      <w:szCs w:val="24"/>
      <w:lang w:eastAsia="fr-FR"/>
    </w:rPr>
  </w:style>
  <w:style w:type="paragraph" w:styleId="Signature">
    <w:name w:val="Signature"/>
    <w:basedOn w:val="Normal"/>
    <w:link w:val="SignatureCar"/>
    <w:rsid w:val="00E12A53"/>
    <w:pPr>
      <w:spacing w:before="60"/>
      <w:jc w:val="center"/>
    </w:pPr>
    <w:rPr>
      <w:rFonts w:ascii="Times New Roman" w:eastAsia="Times New Roman" w:hAnsi="Times New Roman"/>
      <w:color w:val="auto"/>
      <w:sz w:val="24"/>
      <w:szCs w:val="24"/>
      <w:lang w:eastAsia="fr-FR"/>
    </w:rPr>
  </w:style>
  <w:style w:type="character" w:customStyle="1" w:styleId="SignatureCar">
    <w:name w:val="Signature Car"/>
    <w:basedOn w:val="Policepardfaut"/>
    <w:link w:val="Signature"/>
    <w:locked/>
    <w:rsid w:val="00E12A53"/>
    <w:rPr>
      <w:rFonts w:ascii="Times New Roman" w:hAnsi="Times New Roman" w:cs="Times New Roman"/>
      <w:sz w:val="24"/>
      <w:szCs w:val="24"/>
      <w:lang w:eastAsia="fr-FR"/>
    </w:rPr>
  </w:style>
  <w:style w:type="paragraph" w:styleId="Liste">
    <w:name w:val="List"/>
    <w:basedOn w:val="Normal"/>
    <w:next w:val="Corpsdetexte"/>
    <w:rsid w:val="00E12A53"/>
    <w:pPr>
      <w:numPr>
        <w:ilvl w:val="3"/>
        <w:numId w:val="5"/>
      </w:numPr>
      <w:spacing w:before="240"/>
      <w:jc w:val="center"/>
    </w:pPr>
    <w:rPr>
      <w:rFonts w:ascii="Times New Roman" w:eastAsia="Times New Roman" w:hAnsi="Times New Roman"/>
      <w:b/>
      <w:i/>
      <w:color w:val="auto"/>
      <w:sz w:val="24"/>
      <w:szCs w:val="24"/>
      <w:lang w:eastAsia="fr-FR"/>
    </w:rPr>
  </w:style>
  <w:style w:type="paragraph" w:customStyle="1" w:styleId="Titre4Annexes">
    <w:name w:val="Titre 4 Annexes"/>
    <w:basedOn w:val="Titre4"/>
    <w:next w:val="Corpsdetexte"/>
    <w:qFormat/>
    <w:rsid w:val="00E47F3C"/>
    <w:pPr>
      <w:numPr>
        <w:ilvl w:val="0"/>
        <w:numId w:val="0"/>
      </w:numPr>
    </w:pPr>
  </w:style>
  <w:style w:type="paragraph" w:styleId="Listenumros5">
    <w:name w:val="List Number 5"/>
    <w:basedOn w:val="Normal"/>
    <w:rsid w:val="00E12A53"/>
    <w:pPr>
      <w:tabs>
        <w:tab w:val="num" w:pos="1492"/>
      </w:tabs>
      <w:ind w:left="1492" w:hanging="360"/>
    </w:pPr>
    <w:rPr>
      <w:rFonts w:ascii="Times New Roman" w:eastAsia="Times New Roman" w:hAnsi="Times New Roman"/>
      <w:color w:val="auto"/>
      <w:sz w:val="24"/>
      <w:szCs w:val="24"/>
      <w:lang w:eastAsia="fr-FR"/>
    </w:rPr>
  </w:style>
  <w:style w:type="paragraph" w:styleId="Retrait1religne">
    <w:name w:val="Body Text First Indent"/>
    <w:basedOn w:val="Corpsdetexte"/>
    <w:link w:val="Retrait1religneCar"/>
    <w:rsid w:val="00E12A53"/>
    <w:pPr>
      <w:spacing w:before="0" w:after="120"/>
      <w:ind w:firstLine="210"/>
      <w:jc w:val="left"/>
    </w:pPr>
    <w:rPr>
      <w:rFonts w:ascii="Times New Roman" w:eastAsia="Times New Roman" w:hAnsi="Times New Roman"/>
      <w:color w:val="auto"/>
      <w:sz w:val="24"/>
      <w:szCs w:val="24"/>
      <w:lang w:eastAsia="fr-FR"/>
    </w:rPr>
  </w:style>
  <w:style w:type="character" w:customStyle="1" w:styleId="Retrait1religneCar">
    <w:name w:val="Retrait 1re ligne Car"/>
    <w:basedOn w:val="CorpsdetexteCar"/>
    <w:link w:val="Retrait1religne"/>
    <w:locked/>
    <w:rsid w:val="00E12A53"/>
    <w:rPr>
      <w:rFonts w:ascii="Times New Roman" w:hAnsi="Times New Roman" w:cs="Times New Roman"/>
      <w:color w:val="1A171B"/>
      <w:sz w:val="24"/>
      <w:szCs w:val="24"/>
      <w:lang w:eastAsia="fr-FR"/>
    </w:rPr>
  </w:style>
  <w:style w:type="table" w:styleId="Tableausimple3">
    <w:name w:val="Table Simple 3"/>
    <w:basedOn w:val="TableauNormal"/>
    <w:rsid w:val="00E12A53"/>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Sous-Titre4">
    <w:name w:val="Sous-Titre 4"/>
    <w:basedOn w:val="Normal"/>
    <w:next w:val="Corpsdetexte"/>
    <w:qFormat/>
    <w:rsid w:val="001404A8"/>
    <w:pPr>
      <w:pageBreakBefore/>
      <w:spacing w:after="240"/>
      <w:outlineLvl w:val="0"/>
    </w:pPr>
    <w:rPr>
      <w:rFonts w:asciiTheme="minorHAnsi" w:hAnsiTheme="minorHAnsi"/>
      <w:color w:val="auto"/>
      <w:sz w:val="56"/>
    </w:rPr>
  </w:style>
  <w:style w:type="paragraph" w:styleId="Tabledesillustrations">
    <w:name w:val="table of figures"/>
    <w:basedOn w:val="TM2"/>
    <w:next w:val="Normal"/>
    <w:uiPriority w:val="99"/>
    <w:unhideWhenUsed/>
    <w:rsid w:val="00B1219C"/>
  </w:style>
  <w:style w:type="paragraph" w:customStyle="1" w:styleId="EncadreCorpsdeTexte">
    <w:name w:val="Encadre_Corps_de_Texte"/>
    <w:basedOn w:val="Corpsdetexte"/>
    <w:qFormat/>
    <w:rsid w:val="009556E8"/>
    <w:pPr>
      <w:pBdr>
        <w:top w:val="single" w:sz="8" w:space="12" w:color="000000" w:themeColor="text1"/>
        <w:left w:val="single" w:sz="8" w:space="12" w:color="000000" w:themeColor="text1"/>
        <w:bottom w:val="single" w:sz="8" w:space="12" w:color="000000" w:themeColor="text1"/>
        <w:right w:val="single" w:sz="8" w:space="12" w:color="000000" w:themeColor="text1"/>
      </w:pBdr>
      <w:shd w:val="clear" w:color="auto" w:fill="F2F2F2"/>
      <w:ind w:left="284" w:right="284"/>
    </w:pPr>
    <w:rPr>
      <w:rFonts w:eastAsia="Times New Roman"/>
      <w:color w:val="auto"/>
      <w:szCs w:val="20"/>
      <w:lang w:eastAsia="fr-FR"/>
    </w:rPr>
  </w:style>
  <w:style w:type="paragraph" w:customStyle="1" w:styleId="EncadreLegende">
    <w:name w:val="Encadre_Legende"/>
    <w:basedOn w:val="Lgende"/>
    <w:next w:val="EncadreCorpsdeTexte"/>
    <w:qFormat/>
    <w:rsid w:val="00B31B58"/>
    <w:pPr>
      <w:pBdr>
        <w:top w:val="single" w:sz="8" w:space="12" w:color="96C31E"/>
        <w:left w:val="single" w:sz="8" w:space="12" w:color="96C31E"/>
        <w:bottom w:val="single" w:sz="8" w:space="12" w:color="96C31E"/>
        <w:right w:val="single" w:sz="8" w:space="12" w:color="96C31E"/>
      </w:pBdr>
      <w:shd w:val="clear" w:color="auto" w:fill="F2F2F2" w:themeFill="background1" w:themeFillShade="F2"/>
      <w:ind w:left="641" w:right="284"/>
      <w:jc w:val="both"/>
    </w:pPr>
  </w:style>
  <w:style w:type="paragraph" w:customStyle="1" w:styleId="EncadreSources">
    <w:name w:val="Encadre_Sources"/>
    <w:basedOn w:val="Sources"/>
    <w:next w:val="EncadreCorpsdeTexte"/>
    <w:qFormat/>
    <w:rsid w:val="00B31B58"/>
    <w:pPr>
      <w:pBdr>
        <w:top w:val="single" w:sz="8" w:space="12" w:color="96C31E"/>
        <w:left w:val="single" w:sz="8" w:space="12" w:color="96C31E"/>
        <w:bottom w:val="single" w:sz="8" w:space="12" w:color="96C31E"/>
        <w:right w:val="single" w:sz="8" w:space="12" w:color="96C31E"/>
      </w:pBdr>
      <w:shd w:val="clear" w:color="auto" w:fill="F2F2F2" w:themeFill="background1" w:themeFillShade="F2"/>
      <w:ind w:left="284" w:right="284"/>
    </w:pPr>
  </w:style>
  <w:style w:type="paragraph" w:customStyle="1" w:styleId="EncadreLegendeTitreEncadre">
    <w:name w:val="Encadre_Legende_Titre_Encadre"/>
    <w:basedOn w:val="EncadreLegende"/>
    <w:next w:val="EncadreCorpsdeTexte"/>
    <w:rsid w:val="00673C5A"/>
    <w:pPr>
      <w:numPr>
        <w:numId w:val="0"/>
      </w:numPr>
      <w:ind w:left="284"/>
    </w:pPr>
    <w:rPr>
      <w:b/>
      <w:color w:val="96C31E"/>
      <w:sz w:val="24"/>
    </w:rPr>
  </w:style>
  <w:style w:type="paragraph" w:customStyle="1" w:styleId="CorpsdetexteCentre">
    <w:name w:val="Corps de texte Centre"/>
    <w:basedOn w:val="Corpsdetexte"/>
    <w:next w:val="Corpsdetexte"/>
    <w:qFormat/>
    <w:rsid w:val="009661D3"/>
    <w:pPr>
      <w:jc w:val="center"/>
    </w:pPr>
  </w:style>
  <w:style w:type="paragraph" w:styleId="Paragraphedeliste">
    <w:name w:val="List Paragraph"/>
    <w:aliases w:val="List Paragraph1,Recommendation,List Paragraph11,Reco,Paragraphe de liste serré,Sémaphores Puces,List Paragraph"/>
    <w:basedOn w:val="Normal"/>
    <w:link w:val="ParagraphedelisteCar"/>
    <w:uiPriority w:val="34"/>
    <w:qFormat/>
    <w:rsid w:val="008D004C"/>
    <w:pPr>
      <w:ind w:left="720"/>
      <w:contextualSpacing/>
    </w:pPr>
  </w:style>
  <w:style w:type="character" w:customStyle="1" w:styleId="ParagraphedelisteCar">
    <w:name w:val="Paragraphe de liste Car"/>
    <w:aliases w:val="List Paragraph1 Car,Recommendation Car,List Paragraph11 Car,Reco Car,Paragraphe de liste serré Car,Sémaphores Puces Car,List Paragraph Car"/>
    <w:basedOn w:val="Policepardfaut"/>
    <w:link w:val="Paragraphedeliste"/>
    <w:uiPriority w:val="34"/>
    <w:locked/>
    <w:rsid w:val="0087517F"/>
    <w:rPr>
      <w:color w:val="1A171B"/>
      <w:sz w:val="20"/>
      <w:lang w:eastAsia="en-US"/>
    </w:rPr>
  </w:style>
  <w:style w:type="paragraph" w:customStyle="1" w:styleId="Listepuceslev">
    <w:name w:val="Liste à puces élevé"/>
    <w:basedOn w:val="Listepuces"/>
    <w:next w:val="Corpsdetexte"/>
    <w:qFormat/>
    <w:rsid w:val="000103B1"/>
    <w:pPr>
      <w:keepLines/>
    </w:pPr>
    <w:rPr>
      <w:b/>
    </w:rPr>
  </w:style>
  <w:style w:type="table" w:customStyle="1" w:styleId="Grilledetableauclaire1">
    <w:name w:val="Grille de tableau claire1"/>
    <w:basedOn w:val="TableauNormal"/>
    <w:uiPriority w:val="40"/>
    <w:rsid w:val="004067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rpsdetexteEdito">
    <w:name w:val="Corps de texte Edito"/>
    <w:basedOn w:val="Corpsdetexte"/>
    <w:qFormat/>
    <w:rsid w:val="00837EA6"/>
    <w:rPr>
      <w:b/>
      <w:i/>
    </w:rPr>
  </w:style>
  <w:style w:type="paragraph" w:customStyle="1" w:styleId="EncadreListepuces">
    <w:name w:val="Encadre_Liste_à_puces"/>
    <w:basedOn w:val="EncadreCorpsdeTexte"/>
    <w:next w:val="EncadreCorpsdeTexte"/>
    <w:qFormat/>
    <w:rsid w:val="000103B1"/>
    <w:pPr>
      <w:numPr>
        <w:numId w:val="10"/>
      </w:numPr>
      <w:tabs>
        <w:tab w:val="left" w:pos="284"/>
      </w:tabs>
      <w:ind w:left="568" w:hanging="284"/>
    </w:pPr>
  </w:style>
  <w:style w:type="paragraph" w:customStyle="1" w:styleId="EncadreListepuceslev">
    <w:name w:val="Encadre_Liste_à_puces_élevé"/>
    <w:basedOn w:val="EncadreListepuces"/>
    <w:next w:val="EncadreCorpsdeTexte"/>
    <w:qFormat/>
    <w:rsid w:val="00D53760"/>
    <w:pPr>
      <w:tabs>
        <w:tab w:val="left" w:pos="567"/>
      </w:tabs>
      <w:ind w:left="641" w:hanging="357"/>
    </w:pPr>
    <w:rPr>
      <w:b/>
    </w:rPr>
  </w:style>
  <w:style w:type="paragraph" w:styleId="Formuledepolitesse">
    <w:name w:val="Closing"/>
    <w:basedOn w:val="Normal"/>
    <w:link w:val="FormuledepolitesseCar"/>
    <w:rsid w:val="00C131E7"/>
    <w:pPr>
      <w:ind w:left="4252"/>
    </w:pPr>
    <w:rPr>
      <w:rFonts w:eastAsiaTheme="minorHAnsi" w:cstheme="minorBidi"/>
    </w:rPr>
  </w:style>
  <w:style w:type="character" w:customStyle="1" w:styleId="FormuledepolitesseCar">
    <w:name w:val="Formule de politesse Car"/>
    <w:basedOn w:val="Policepardfaut"/>
    <w:link w:val="Formuledepolitesse"/>
    <w:rsid w:val="00C131E7"/>
    <w:rPr>
      <w:rFonts w:eastAsiaTheme="minorHAnsi" w:cstheme="minorBidi"/>
      <w:color w:val="1A171B"/>
      <w:sz w:val="20"/>
      <w:lang w:eastAsia="en-US"/>
    </w:rPr>
  </w:style>
  <w:style w:type="paragraph" w:styleId="Titredenote">
    <w:name w:val="Note Heading"/>
    <w:basedOn w:val="Normal"/>
    <w:next w:val="Corpsdetexte"/>
    <w:link w:val="TitredenoteCar"/>
    <w:rsid w:val="00C131E7"/>
    <w:pPr>
      <w:tabs>
        <w:tab w:val="left" w:pos="1134"/>
      </w:tabs>
      <w:spacing w:before="60"/>
    </w:pPr>
    <w:rPr>
      <w:rFonts w:eastAsiaTheme="minorHAnsi" w:cstheme="minorBidi"/>
      <w:i/>
      <w:color w:val="5F5F5F"/>
      <w:sz w:val="16"/>
    </w:rPr>
  </w:style>
  <w:style w:type="character" w:customStyle="1" w:styleId="TitredenoteCar">
    <w:name w:val="Titre de note Car"/>
    <w:basedOn w:val="Policepardfaut"/>
    <w:link w:val="Titredenote"/>
    <w:rsid w:val="00C131E7"/>
    <w:rPr>
      <w:rFonts w:eastAsiaTheme="minorHAnsi" w:cstheme="minorBidi"/>
      <w:i/>
      <w:color w:val="5F5F5F"/>
      <w:sz w:val="16"/>
      <w:lang w:eastAsia="en-US"/>
    </w:rPr>
  </w:style>
  <w:style w:type="paragraph" w:styleId="Listepuces5">
    <w:name w:val="List Bullet 5"/>
    <w:basedOn w:val="Normal"/>
    <w:rsid w:val="00C131E7"/>
    <w:pPr>
      <w:numPr>
        <w:numId w:val="6"/>
      </w:numPr>
    </w:pPr>
    <w:rPr>
      <w:rFonts w:eastAsiaTheme="minorHAnsi" w:cstheme="minorBidi"/>
    </w:rPr>
  </w:style>
  <w:style w:type="table" w:styleId="Tableaucolor1">
    <w:name w:val="Table Colorful 1"/>
    <w:basedOn w:val="TableauNormal"/>
    <w:rsid w:val="00C131E7"/>
    <w:pPr>
      <w:jc w:val="center"/>
    </w:pPr>
    <w:rPr>
      <w:rFonts w:ascii="Arial" w:eastAsia="Times New Roman" w:hAnsi="Arial"/>
      <w:sz w:val="16"/>
      <w:szCs w:val="20"/>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rPr>
      <w:jc w:val="center"/>
    </w:trPr>
    <w:tcPr>
      <w:shd w:val="solid" w:color="008080" w:fill="FFFFFF"/>
    </w:tcPr>
    <w:tblStylePr w:type="firstRow">
      <w:pPr>
        <w:wordWrap/>
        <w:jc w:val="center"/>
      </w:pPr>
      <w:rPr>
        <w:rFonts w:ascii="Arial" w:hAnsi="Arial"/>
        <w:b/>
        <w:bCs/>
        <w:i w:val="0"/>
        <w:iCs/>
        <w:color w:val="333333"/>
        <w:sz w:val="16"/>
      </w:rPr>
      <w:tblPr/>
      <w:trPr>
        <w:tblHeader/>
      </w:trPr>
      <w:tcPr>
        <w:tcBorders>
          <w:top w:val="single" w:sz="4" w:space="0" w:color="808080"/>
          <w:left w:val="single" w:sz="4" w:space="0" w:color="808080"/>
          <w:bottom w:val="single" w:sz="4" w:space="0" w:color="808080"/>
          <w:right w:val="single" w:sz="4" w:space="0" w:color="808080"/>
          <w:insideH w:val="single" w:sz="6" w:space="0" w:color="808080"/>
          <w:insideV w:val="single" w:sz="6" w:space="0" w:color="808080"/>
          <w:tl2br w:val="nil"/>
          <w:tr2bl w:val="nil"/>
        </w:tcBorders>
        <w:shd w:val="pct50" w:color="CCFFCC" w:fill="FFFFFF"/>
      </w:tcPr>
    </w:tblStylePr>
    <w:tblStylePr w:type="lastRow">
      <w:rPr>
        <w:rFonts w:ascii="Arial" w:hAnsi="Arial"/>
        <w:sz w:val="16"/>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2" w:color="CCFFFF" w:fill="FFFFFF"/>
      </w:tcPr>
    </w:tblStylePr>
    <w:tblStylePr w:type="firstCol">
      <w:pPr>
        <w:wordWrap/>
        <w:jc w:val="center"/>
      </w:pPr>
      <w:rPr>
        <w:rFonts w:ascii="Arial" w:hAnsi="Arial"/>
        <w:b w:val="0"/>
        <w:bCs/>
        <w:i w:val="0"/>
        <w:iCs/>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lastCol">
      <w:rPr>
        <w:rFonts w:ascii="Arial" w:hAnsi="Arial"/>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band1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2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1Horz">
      <w:rPr>
        <w:rFonts w:ascii="Arial" w:hAnsi="Arial"/>
        <w:sz w:val="16"/>
      </w:rPr>
    </w:tblStylePr>
    <w:tblStylePr w:type="band2Horz">
      <w:rPr>
        <w:rFonts w:ascii="Arial" w:hAnsi="Arial"/>
        <w:sz w:val="16"/>
      </w:rPr>
    </w:tblStylePr>
    <w:tblStylePr w:type="nwCell">
      <w:rPr>
        <w:rFonts w:ascii="Arial" w:hAnsi="Arial"/>
        <w:b/>
        <w:color w:val="333333"/>
        <w:sz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50" w:color="CCFFCC" w:fill="FFFFFF"/>
      </w:tcPr>
    </w:tblStylePr>
    <w:tblStylePr w:type="swCell">
      <w:rPr>
        <w:rFonts w:ascii="Arial" w:hAnsi="Arial"/>
        <w:b w:val="0"/>
        <w:bCs/>
        <w:i w:val="0"/>
        <w:iCs w:val="0"/>
        <w:sz w:val="20"/>
      </w:rPr>
      <w:tblPr/>
      <w:tcPr>
        <w:tcBorders>
          <w:top w:val="single" w:sz="6" w:space="0" w:color="auto"/>
          <w:left w:val="single" w:sz="6" w:space="0" w:color="auto"/>
          <w:bottom w:val="single" w:sz="6" w:space="0" w:color="auto"/>
          <w:right w:val="single" w:sz="6" w:space="0" w:color="auto"/>
          <w:insideH w:val="nil"/>
          <w:insideV w:val="nil"/>
          <w:tl2br w:val="nil"/>
          <w:tr2bl w:val="nil"/>
        </w:tcBorders>
        <w:shd w:val="pct12" w:color="CCFFFF" w:fill="FFFFFF"/>
      </w:tcPr>
    </w:tblStylePr>
  </w:style>
  <w:style w:type="table" w:customStyle="1" w:styleId="Tableau1">
    <w:name w:val="Tableau1"/>
    <w:basedOn w:val="Tableaucolor1"/>
    <w:rsid w:val="00C131E7"/>
    <w:tblPr/>
    <w:tcPr>
      <w:shd w:val="solid" w:color="008080" w:fill="FFFFFF"/>
    </w:tcPr>
    <w:tblStylePr w:type="firstRow">
      <w:pPr>
        <w:wordWrap/>
        <w:jc w:val="center"/>
      </w:pPr>
      <w:rPr>
        <w:rFonts w:ascii="Arial" w:hAnsi="Arial"/>
        <w:b/>
        <w:bCs/>
        <w:i w:val="0"/>
        <w:iCs/>
        <w:color w:val="333333"/>
        <w:sz w:val="16"/>
      </w:rPr>
      <w:tblPr/>
      <w:trPr>
        <w:tblHeader/>
      </w:trPr>
      <w:tcPr>
        <w:tcBorders>
          <w:top w:val="single" w:sz="4" w:space="0" w:color="808080"/>
          <w:left w:val="single" w:sz="4" w:space="0" w:color="808080"/>
          <w:bottom w:val="single" w:sz="4" w:space="0" w:color="808080"/>
          <w:right w:val="single" w:sz="4" w:space="0" w:color="808080"/>
          <w:insideH w:val="single" w:sz="6" w:space="0" w:color="808080"/>
          <w:insideV w:val="single" w:sz="6" w:space="0" w:color="808080"/>
          <w:tl2br w:val="nil"/>
          <w:tr2bl w:val="nil"/>
        </w:tcBorders>
        <w:shd w:val="pct50" w:color="CCFFCC" w:fill="FFFFFF"/>
      </w:tcPr>
    </w:tblStylePr>
    <w:tblStylePr w:type="lastRow">
      <w:rPr>
        <w:rFonts w:ascii="Arial" w:hAnsi="Arial"/>
        <w:sz w:val="16"/>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2" w:color="CCFFFF" w:fill="FFFFFF"/>
      </w:tcPr>
    </w:tblStylePr>
    <w:tblStylePr w:type="firstCol">
      <w:pPr>
        <w:wordWrap/>
        <w:jc w:val="center"/>
      </w:pPr>
      <w:rPr>
        <w:rFonts w:ascii="Arial" w:hAnsi="Arial"/>
        <w:b w:val="0"/>
        <w:bCs/>
        <w:i w:val="0"/>
        <w:iCs/>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lastCol">
      <w:rPr>
        <w:rFonts w:ascii="Arial" w:hAnsi="Arial"/>
        <w:color w:val="333333"/>
        <w:sz w:val="20"/>
      </w:rPr>
      <w:tblPr/>
      <w:tcPr>
        <w:tcBorders>
          <w:top w:val="single" w:sz="4" w:space="0" w:color="808080"/>
          <w:left w:val="single" w:sz="4" w:space="0" w:color="808080"/>
          <w:bottom w:val="single" w:sz="4" w:space="0" w:color="808080"/>
          <w:right w:val="single" w:sz="4" w:space="0" w:color="808080"/>
          <w:insideH w:val="nil"/>
          <w:insideV w:val="nil"/>
          <w:tl2br w:val="nil"/>
          <w:tr2bl w:val="nil"/>
        </w:tcBorders>
        <w:shd w:val="pct12" w:color="CCFFFF" w:fill="FFFFFF"/>
      </w:tcPr>
    </w:tblStylePr>
    <w:tblStylePr w:type="band1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2Vert">
      <w:rPr>
        <w:rFonts w:ascii="Arial" w:hAnsi="Arial"/>
        <w:color w:val="333333"/>
        <w:sz w:val="20"/>
      </w:rPr>
      <w:tblPr/>
      <w:tcPr>
        <w:tcBorders>
          <w:top w:val="nil"/>
          <w:left w:val="nil"/>
          <w:bottom w:val="nil"/>
          <w:right w:val="nil"/>
          <w:insideH w:val="nil"/>
          <w:insideV w:val="nil"/>
          <w:tl2br w:val="nil"/>
          <w:tr2bl w:val="nil"/>
        </w:tcBorders>
        <w:shd w:val="pct12" w:color="CCFFFF" w:fill="FFFFFF"/>
      </w:tcPr>
    </w:tblStylePr>
    <w:tblStylePr w:type="band1Horz">
      <w:rPr>
        <w:rFonts w:ascii="Arial" w:hAnsi="Arial"/>
        <w:sz w:val="16"/>
      </w:rPr>
    </w:tblStylePr>
    <w:tblStylePr w:type="band2Horz">
      <w:rPr>
        <w:rFonts w:ascii="Arial" w:hAnsi="Arial"/>
        <w:sz w:val="16"/>
      </w:rPr>
    </w:tblStylePr>
    <w:tblStylePr w:type="nwCell">
      <w:rPr>
        <w:rFonts w:ascii="Arial" w:hAnsi="Arial"/>
        <w:b/>
        <w:color w:val="333333"/>
        <w:sz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50" w:color="CCFFCC" w:fill="FFFFFF"/>
      </w:tcPr>
    </w:tblStylePr>
    <w:tblStylePr w:type="swCell">
      <w:rPr>
        <w:rFonts w:ascii="Arial" w:hAnsi="Arial"/>
        <w:b w:val="0"/>
        <w:bCs/>
        <w:i w:val="0"/>
        <w:iCs w:val="0"/>
        <w:sz w:val="20"/>
      </w:rPr>
      <w:tblPr/>
      <w:tcPr>
        <w:tcBorders>
          <w:top w:val="single" w:sz="6" w:space="0" w:color="auto"/>
          <w:left w:val="single" w:sz="6" w:space="0" w:color="auto"/>
          <w:bottom w:val="single" w:sz="6" w:space="0" w:color="auto"/>
          <w:right w:val="single" w:sz="6" w:space="0" w:color="auto"/>
          <w:insideH w:val="nil"/>
          <w:insideV w:val="nil"/>
          <w:tl2br w:val="nil"/>
          <w:tr2bl w:val="nil"/>
        </w:tcBorders>
        <w:shd w:val="pct12" w:color="CCFFFF" w:fill="FFFFFF"/>
      </w:tcPr>
    </w:tblStylePr>
  </w:style>
  <w:style w:type="paragraph" w:styleId="Listecontinue3">
    <w:name w:val="List Continue 3"/>
    <w:basedOn w:val="Normal"/>
    <w:rsid w:val="00C131E7"/>
    <w:pPr>
      <w:spacing w:after="120"/>
      <w:ind w:left="849"/>
    </w:pPr>
    <w:rPr>
      <w:rFonts w:eastAsiaTheme="minorHAnsi" w:cstheme="minorBidi"/>
    </w:rPr>
  </w:style>
  <w:style w:type="paragraph" w:styleId="Listecontinue2">
    <w:name w:val="List Continue 2"/>
    <w:basedOn w:val="Corpsdetexte"/>
    <w:uiPriority w:val="99"/>
    <w:unhideWhenUsed/>
    <w:rsid w:val="00441B06"/>
    <w:pPr>
      <w:numPr>
        <w:numId w:val="7"/>
      </w:numPr>
      <w:tabs>
        <w:tab w:val="left" w:pos="567"/>
      </w:tabs>
      <w:spacing w:before="60"/>
      <w:ind w:left="568" w:hanging="284"/>
      <w:contextualSpacing/>
    </w:pPr>
    <w:rPr>
      <w:rFonts w:eastAsiaTheme="minorHAnsi" w:cstheme="minorBidi"/>
    </w:rPr>
  </w:style>
  <w:style w:type="table" w:styleId="Thmedutableau">
    <w:name w:val="Table Theme"/>
    <w:basedOn w:val="TableauNormal"/>
    <w:rsid w:val="00C131E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
    <w:name w:val="Fin"/>
    <w:basedOn w:val="Normal"/>
    <w:next w:val="Normal"/>
    <w:rsid w:val="00C131E7"/>
    <w:pPr>
      <w:spacing w:before="240"/>
      <w:jc w:val="center"/>
    </w:pPr>
    <w:rPr>
      <w:rFonts w:eastAsiaTheme="minorHAnsi" w:cstheme="minorBidi"/>
      <w:color w:val="009BBE"/>
      <w:sz w:val="18"/>
      <w:szCs w:val="20"/>
    </w:rPr>
  </w:style>
  <w:style w:type="table" w:styleId="Grilledetableau2">
    <w:name w:val="Table Grid 2"/>
    <w:basedOn w:val="TableauNormal"/>
    <w:rsid w:val="00C131E7"/>
    <w:rPr>
      <w:rFonts w:ascii="Arial" w:eastAsia="Times New Roman" w:hAnsi="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firstRow">
      <w:pPr>
        <w:wordWrap/>
        <w:jc w:val="center"/>
      </w:pPr>
      <w:rPr>
        <w:rFonts w:ascii="Arial" w:hAnsi="Arial"/>
        <w:b/>
        <w:bCs/>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pct25" w:color="CCFFCC" w:fill="auto"/>
      </w:tcPr>
    </w:tblStylePr>
    <w:tblStylePr w:type="lastRow">
      <w:rPr>
        <w:rFonts w:ascii="Arial" w:hAnsi="Arial"/>
        <w:b w:val="0"/>
        <w:bCs/>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firstCol">
      <w:rPr>
        <w:rFonts w:ascii="Arial" w:hAnsi="Arial"/>
        <w:b/>
        <w:bCs/>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tblStylePr w:type="lastCol">
      <w:rPr>
        <w:rFonts w:ascii="Arial" w:hAnsi="Arial"/>
        <w:b w:val="0"/>
        <w:bCs/>
        <w:sz w:val="20"/>
      </w:rPr>
      <w:tblPr/>
      <w:tcPr>
        <w:tcBorders>
          <w:tl2br w:val="none" w:sz="0" w:space="0" w:color="auto"/>
          <w:tr2bl w:val="none" w:sz="0" w:space="0" w:color="auto"/>
        </w:tcBorders>
      </w:tcPr>
    </w:tblStylePr>
    <w:tblStylePr w:type="swCell">
      <w:rPr>
        <w:rFonts w:ascii="Arial" w:hAnsi="Arial"/>
        <w:b/>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auto"/>
      </w:tcPr>
    </w:tblStylePr>
  </w:style>
  <w:style w:type="character" w:customStyle="1" w:styleId="Normal1">
    <w:name w:val="Normal1"/>
    <w:rsid w:val="00C131E7"/>
  </w:style>
  <w:style w:type="paragraph" w:styleId="Notedefin">
    <w:name w:val="endnote text"/>
    <w:basedOn w:val="Normal"/>
    <w:link w:val="NotedefinCar"/>
    <w:rsid w:val="00C131E7"/>
    <w:rPr>
      <w:rFonts w:eastAsiaTheme="minorHAnsi" w:cstheme="minorBidi"/>
      <w:szCs w:val="20"/>
    </w:rPr>
  </w:style>
  <w:style w:type="character" w:customStyle="1" w:styleId="NotedefinCar">
    <w:name w:val="Note de fin Car"/>
    <w:basedOn w:val="Policepardfaut"/>
    <w:link w:val="Notedefin"/>
    <w:rsid w:val="00C131E7"/>
    <w:rPr>
      <w:rFonts w:eastAsiaTheme="minorHAnsi" w:cstheme="minorBidi"/>
      <w:color w:val="1A171B"/>
      <w:sz w:val="20"/>
      <w:szCs w:val="20"/>
      <w:lang w:eastAsia="en-US"/>
    </w:rPr>
  </w:style>
  <w:style w:type="character" w:styleId="Appeldenotedefin">
    <w:name w:val="endnote reference"/>
    <w:basedOn w:val="Policepardfaut"/>
    <w:rsid w:val="00C131E7"/>
    <w:rPr>
      <w:vertAlign w:val="superscript"/>
    </w:rPr>
  </w:style>
  <w:style w:type="paragraph" w:styleId="Retraitnormal">
    <w:name w:val="Normal Indent"/>
    <w:basedOn w:val="Normal"/>
    <w:rsid w:val="00C131E7"/>
    <w:pPr>
      <w:ind w:left="708"/>
    </w:pPr>
    <w:rPr>
      <w:rFonts w:eastAsiaTheme="minorHAnsi" w:cstheme="minorBidi"/>
    </w:rPr>
  </w:style>
  <w:style w:type="paragraph" w:styleId="Signaturelectronique">
    <w:name w:val="E-mail Signature"/>
    <w:basedOn w:val="Normal"/>
    <w:link w:val="SignaturelectroniqueCar"/>
    <w:rsid w:val="00C131E7"/>
    <w:rPr>
      <w:rFonts w:eastAsiaTheme="minorHAnsi" w:cstheme="minorBidi"/>
    </w:rPr>
  </w:style>
  <w:style w:type="character" w:customStyle="1" w:styleId="SignaturelectroniqueCar">
    <w:name w:val="Signature électronique Car"/>
    <w:basedOn w:val="Policepardfaut"/>
    <w:link w:val="Signaturelectronique"/>
    <w:rsid w:val="00C131E7"/>
    <w:rPr>
      <w:rFonts w:eastAsiaTheme="minorHAnsi" w:cstheme="minorBidi"/>
      <w:color w:val="1A171B"/>
      <w:sz w:val="20"/>
      <w:lang w:eastAsia="en-US"/>
    </w:rPr>
  </w:style>
  <w:style w:type="paragraph" w:customStyle="1" w:styleId="Titre2Annexes">
    <w:name w:val="Titre 2 Annexes"/>
    <w:basedOn w:val="Titre2"/>
    <w:next w:val="Corpsdetexte"/>
    <w:qFormat/>
    <w:rsid w:val="00E46FA2"/>
    <w:pPr>
      <w:numPr>
        <w:numId w:val="5"/>
      </w:numPr>
      <w:ind w:left="5245"/>
    </w:pPr>
    <w:rPr>
      <w:b w:val="0"/>
    </w:rPr>
  </w:style>
  <w:style w:type="paragraph" w:customStyle="1" w:styleId="Titre3Annexes">
    <w:name w:val="Titre 3 Annexes"/>
    <w:basedOn w:val="Titre3"/>
    <w:next w:val="Corpsdetexte"/>
    <w:qFormat/>
    <w:rsid w:val="00996695"/>
    <w:pPr>
      <w:numPr>
        <w:ilvl w:val="0"/>
        <w:numId w:val="0"/>
      </w:numPr>
    </w:pPr>
  </w:style>
  <w:style w:type="character" w:styleId="Numrodepage">
    <w:name w:val="page number"/>
    <w:basedOn w:val="Policepardfaut"/>
    <w:locked/>
    <w:rsid w:val="00FF595E"/>
    <w:rPr>
      <w:rFonts w:ascii="Calibri" w:hAnsi="Calibri" w:cs="Times New Roman"/>
      <w:b/>
      <w:color w:val="FFFFFF"/>
      <w:sz w:val="22"/>
    </w:rPr>
  </w:style>
  <w:style w:type="paragraph" w:customStyle="1" w:styleId="EncadreListeContinue">
    <w:name w:val="Encadre_Liste_Continue"/>
    <w:basedOn w:val="EncadreCorpsdeTexte"/>
    <w:qFormat/>
    <w:rsid w:val="0064030A"/>
    <w:pPr>
      <w:numPr>
        <w:numId w:val="8"/>
      </w:numPr>
      <w:tabs>
        <w:tab w:val="left" w:pos="284"/>
      </w:tabs>
      <w:spacing w:before="60"/>
      <w:ind w:left="568" w:hanging="284"/>
    </w:pPr>
  </w:style>
  <w:style w:type="character" w:styleId="Marquedecommentaire">
    <w:name w:val="annotation reference"/>
    <w:basedOn w:val="Policepardfaut"/>
    <w:uiPriority w:val="99"/>
    <w:semiHidden/>
    <w:unhideWhenUsed/>
    <w:rsid w:val="00B851FE"/>
    <w:rPr>
      <w:sz w:val="16"/>
      <w:szCs w:val="16"/>
    </w:rPr>
  </w:style>
  <w:style w:type="paragraph" w:styleId="Commentaire">
    <w:name w:val="annotation text"/>
    <w:basedOn w:val="Normal"/>
    <w:link w:val="CommentaireCar"/>
    <w:uiPriority w:val="99"/>
    <w:unhideWhenUsed/>
    <w:rsid w:val="00B851FE"/>
    <w:rPr>
      <w:szCs w:val="20"/>
    </w:rPr>
  </w:style>
  <w:style w:type="character" w:customStyle="1" w:styleId="CommentaireCar">
    <w:name w:val="Commentaire Car"/>
    <w:basedOn w:val="Policepardfaut"/>
    <w:link w:val="Commentaire"/>
    <w:uiPriority w:val="99"/>
    <w:rsid w:val="00B851FE"/>
    <w:rPr>
      <w:color w:val="1A171B"/>
      <w:sz w:val="20"/>
      <w:szCs w:val="20"/>
      <w:lang w:eastAsia="en-US"/>
    </w:rPr>
  </w:style>
  <w:style w:type="paragraph" w:styleId="Objetducommentaire">
    <w:name w:val="annotation subject"/>
    <w:basedOn w:val="Commentaire"/>
    <w:next w:val="Commentaire"/>
    <w:link w:val="ObjetducommentaireCar"/>
    <w:uiPriority w:val="99"/>
    <w:semiHidden/>
    <w:unhideWhenUsed/>
    <w:rsid w:val="00B851FE"/>
    <w:rPr>
      <w:b/>
      <w:bCs/>
    </w:rPr>
  </w:style>
  <w:style w:type="character" w:customStyle="1" w:styleId="ObjetducommentaireCar">
    <w:name w:val="Objet du commentaire Car"/>
    <w:basedOn w:val="CommentaireCar"/>
    <w:link w:val="Objetducommentaire"/>
    <w:uiPriority w:val="99"/>
    <w:semiHidden/>
    <w:rsid w:val="00B851FE"/>
    <w:rPr>
      <w:b/>
      <w:bCs/>
      <w:color w:val="1A171B"/>
      <w:sz w:val="20"/>
      <w:szCs w:val="20"/>
      <w:lang w:eastAsia="en-US"/>
    </w:rPr>
  </w:style>
  <w:style w:type="paragraph" w:styleId="Rvision">
    <w:name w:val="Revision"/>
    <w:hidden/>
    <w:uiPriority w:val="99"/>
    <w:semiHidden/>
    <w:rsid w:val="00B851FE"/>
    <w:rPr>
      <w:color w:val="1A171B"/>
      <w:sz w:val="20"/>
      <w:lang w:eastAsia="en-US"/>
    </w:rPr>
  </w:style>
  <w:style w:type="paragraph" w:customStyle="1" w:styleId="FaitsMarquantsFaits">
    <w:name w:val="Faits Marquants Faits"/>
    <w:basedOn w:val="Corpsdetexte"/>
    <w:next w:val="Corpsdetexte"/>
    <w:qFormat/>
    <w:rsid w:val="00E31426"/>
    <w:pPr>
      <w:spacing w:before="0" w:after="240"/>
      <w:jc w:val="left"/>
    </w:pPr>
    <w:rPr>
      <w:rFonts w:eastAsia="Times New Roman"/>
      <w:b/>
      <w:caps/>
      <w:color w:val="96C31E"/>
      <w:sz w:val="24"/>
      <w:szCs w:val="20"/>
    </w:rPr>
  </w:style>
  <w:style w:type="paragraph" w:customStyle="1" w:styleId="FaitsMarquantsCorpsdetexte">
    <w:name w:val="Faits Marquants Corps de texte"/>
    <w:basedOn w:val="Corpsdetexte"/>
    <w:qFormat/>
    <w:rsid w:val="00674AB1"/>
    <w:pPr>
      <w:jc w:val="left"/>
    </w:pPr>
    <w:rPr>
      <w:rFonts w:eastAsia="Times New Roman"/>
      <w:szCs w:val="20"/>
    </w:rPr>
  </w:style>
  <w:style w:type="paragraph" w:styleId="En-ttedemessage">
    <w:name w:val="Message Header"/>
    <w:basedOn w:val="Normal"/>
    <w:link w:val="En-ttedemessageCar"/>
    <w:uiPriority w:val="99"/>
    <w:semiHidden/>
    <w:unhideWhenUsed/>
    <w:rsid w:val="00144F9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44F99"/>
    <w:rPr>
      <w:rFonts w:asciiTheme="majorHAnsi" w:eastAsiaTheme="majorEastAsia" w:hAnsiTheme="majorHAnsi" w:cstheme="majorBidi"/>
      <w:color w:val="1A171B"/>
      <w:sz w:val="24"/>
      <w:szCs w:val="24"/>
      <w:shd w:val="pct20" w:color="auto" w:fill="auto"/>
      <w:lang w:eastAsia="en-US"/>
    </w:rPr>
  </w:style>
  <w:style w:type="paragraph" w:customStyle="1" w:styleId="FaitsMarquantsDateMilieuColonne">
    <w:name w:val="Faits Marquants Date Milieu Colonne"/>
    <w:basedOn w:val="FaitsMarquantsDateHautColonne"/>
    <w:next w:val="FaitsMarquantsCorpsdetexte"/>
    <w:qFormat/>
    <w:rsid w:val="00864EF3"/>
    <w:pPr>
      <w:spacing w:before="360"/>
    </w:pPr>
  </w:style>
  <w:style w:type="paragraph" w:customStyle="1" w:styleId="EncadreProposition">
    <w:name w:val="Encadre_Proposition"/>
    <w:basedOn w:val="Lgende"/>
    <w:next w:val="Corpsdetexte"/>
    <w:qFormat/>
    <w:rsid w:val="00D57718"/>
    <w:pPr>
      <w:numPr>
        <w:numId w:val="0"/>
      </w:numPr>
      <w:pBdr>
        <w:top w:val="single" w:sz="8" w:space="12" w:color="E6007D"/>
        <w:left w:val="single" w:sz="8" w:space="12" w:color="E6007D"/>
        <w:bottom w:val="single" w:sz="8" w:space="12" w:color="E6007D"/>
        <w:right w:val="single" w:sz="8" w:space="12" w:color="E6007D"/>
      </w:pBdr>
      <w:shd w:val="clear" w:color="auto" w:fill="F2F2F2"/>
      <w:tabs>
        <w:tab w:val="clear" w:pos="284"/>
        <w:tab w:val="clear" w:pos="425"/>
        <w:tab w:val="clear" w:pos="567"/>
        <w:tab w:val="left" w:pos="8505"/>
      </w:tabs>
      <w:ind w:left="284" w:right="284"/>
    </w:pPr>
    <w:rPr>
      <w:b/>
      <w:i w:val="0"/>
      <w:color w:val="E6007D"/>
    </w:rPr>
  </w:style>
  <w:style w:type="paragraph" w:customStyle="1" w:styleId="EncadrePistedeTravail">
    <w:name w:val="Encadre_Piste_de_Travail"/>
    <w:basedOn w:val="Corpsdetexte"/>
    <w:next w:val="Corpsdetexte"/>
    <w:qFormat/>
    <w:rsid w:val="00D57718"/>
    <w:pPr>
      <w:pBdr>
        <w:top w:val="single" w:sz="8" w:space="12" w:color="009BBE"/>
        <w:left w:val="single" w:sz="8" w:space="12" w:color="009BBE"/>
        <w:bottom w:val="single" w:sz="8" w:space="12" w:color="009BBE"/>
        <w:right w:val="single" w:sz="8" w:space="12" w:color="009BBE"/>
      </w:pBdr>
      <w:shd w:val="clear" w:color="auto" w:fill="F2F2F2"/>
      <w:tabs>
        <w:tab w:val="left" w:pos="8505"/>
      </w:tabs>
      <w:spacing w:before="240" w:after="120"/>
      <w:ind w:left="284" w:right="284"/>
    </w:pPr>
    <w:rPr>
      <w:b/>
      <w:color w:val="009BBE"/>
    </w:rPr>
  </w:style>
  <w:style w:type="paragraph" w:customStyle="1" w:styleId="Annexes1">
    <w:name w:val="Annexes_1"/>
    <w:basedOn w:val="Titre1"/>
    <w:next w:val="Corpsdetexte"/>
    <w:rsid w:val="00AC6D9C"/>
    <w:pPr>
      <w:tabs>
        <w:tab w:val="clear" w:pos="9356"/>
      </w:tabs>
      <w:suppressAutoHyphens w:val="0"/>
      <w:ind w:right="567"/>
    </w:pPr>
  </w:style>
  <w:style w:type="paragraph" w:customStyle="1" w:styleId="Titre1AnStat">
    <w:name w:val="Titre 1 AnStat"/>
    <w:basedOn w:val="Titre1"/>
    <w:next w:val="Corpsdetexte"/>
    <w:qFormat/>
    <w:rsid w:val="00CA0594"/>
    <w:pPr>
      <w:numPr>
        <w:numId w:val="0"/>
      </w:numPr>
      <w:tabs>
        <w:tab w:val="clear" w:pos="9356"/>
      </w:tabs>
      <w:suppressAutoHyphens w:val="0"/>
      <w:spacing w:after="0"/>
      <w:ind w:right="567"/>
    </w:pPr>
    <w:rPr>
      <w:rFonts w:eastAsiaTheme="majorEastAsia" w:cstheme="majorBidi"/>
    </w:rPr>
  </w:style>
  <w:style w:type="paragraph" w:customStyle="1" w:styleId="Titre2AnStat">
    <w:name w:val="Titre 2 AnStat"/>
    <w:basedOn w:val="Titre2"/>
    <w:next w:val="Corpsdetexte"/>
    <w:qFormat/>
    <w:rsid w:val="00AC6D9C"/>
    <w:pPr>
      <w:numPr>
        <w:ilvl w:val="0"/>
        <w:numId w:val="0"/>
      </w:numPr>
      <w:suppressAutoHyphens w:val="0"/>
    </w:pPr>
    <w:rPr>
      <w:rFonts w:eastAsiaTheme="minorHAnsi" w:cstheme="minorBidi"/>
    </w:rPr>
  </w:style>
  <w:style w:type="table" w:customStyle="1" w:styleId="Grilledetableauclaire2">
    <w:name w:val="Grille de tableau claire2"/>
    <w:basedOn w:val="TableauNormal"/>
    <w:uiPriority w:val="40"/>
    <w:rsid w:val="00837E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Policepardfaut"/>
    <w:uiPriority w:val="99"/>
    <w:semiHidden/>
    <w:unhideWhenUsed/>
    <w:rsid w:val="009A7FA3"/>
    <w:rPr>
      <w:color w:val="2B579A"/>
      <w:shd w:val="clear" w:color="auto" w:fill="E6E6E6"/>
    </w:rPr>
  </w:style>
  <w:style w:type="paragraph" w:styleId="Citation">
    <w:name w:val="Quote"/>
    <w:basedOn w:val="Normal"/>
    <w:next w:val="Normal"/>
    <w:link w:val="CitationCar"/>
    <w:uiPriority w:val="29"/>
    <w:qFormat/>
    <w:rsid w:val="00F41F56"/>
    <w:rPr>
      <w:i/>
      <w:iCs/>
      <w:color w:val="000000" w:themeColor="text1"/>
    </w:rPr>
  </w:style>
  <w:style w:type="character" w:customStyle="1" w:styleId="CitationCar">
    <w:name w:val="Citation Car"/>
    <w:basedOn w:val="Policepardfaut"/>
    <w:link w:val="Citation"/>
    <w:uiPriority w:val="29"/>
    <w:rsid w:val="00F41F56"/>
    <w:rPr>
      <w:i/>
      <w:iCs/>
      <w:color w:val="000000" w:themeColor="text1"/>
      <w:sz w:val="20"/>
      <w:lang w:eastAsia="en-US"/>
    </w:rPr>
  </w:style>
  <w:style w:type="paragraph" w:customStyle="1" w:styleId="AnnexeTitre2">
    <w:name w:val="Annexe Titre 2"/>
    <w:basedOn w:val="Titre2"/>
    <w:next w:val="Corpsdetexte"/>
    <w:qFormat/>
    <w:rsid w:val="004D0485"/>
    <w:pPr>
      <w:pageBreakBefore w:val="0"/>
      <w:numPr>
        <w:numId w:val="12"/>
      </w:numPr>
      <w:pBdr>
        <w:bottom w:val="single" w:sz="4" w:space="3" w:color="auto"/>
      </w:pBdr>
      <w:suppressAutoHyphens w:val="0"/>
      <w:spacing w:before="0" w:after="0"/>
      <w:ind w:left="1418" w:hanging="738"/>
    </w:pPr>
    <w:rPr>
      <w:rFonts w:eastAsiaTheme="majorEastAsia" w:cstheme="majorBidi"/>
      <w:bCs/>
      <w:sz w:val="28"/>
      <w:szCs w:val="26"/>
    </w:rPr>
  </w:style>
  <w:style w:type="paragraph" w:styleId="Listenumros">
    <w:name w:val="List Number"/>
    <w:basedOn w:val="Normal"/>
    <w:uiPriority w:val="99"/>
    <w:unhideWhenUsed/>
    <w:rsid w:val="00020A58"/>
    <w:pPr>
      <w:numPr>
        <w:numId w:val="9"/>
      </w:numPr>
      <w:contextualSpacing/>
    </w:pPr>
  </w:style>
  <w:style w:type="paragraph" w:styleId="PrformatHTML">
    <w:name w:val="HTML Preformatted"/>
    <w:basedOn w:val="Normal"/>
    <w:link w:val="PrformatHTMLCar"/>
    <w:uiPriority w:val="99"/>
    <w:semiHidden/>
    <w:unhideWhenUsed/>
    <w:rsid w:val="00B830D9"/>
    <w:rPr>
      <w:rFonts w:ascii="Consolas" w:hAnsi="Consolas" w:cs="Consolas"/>
      <w:szCs w:val="20"/>
    </w:rPr>
  </w:style>
  <w:style w:type="character" w:customStyle="1" w:styleId="PrformatHTMLCar">
    <w:name w:val="Préformaté HTML Car"/>
    <w:basedOn w:val="Policepardfaut"/>
    <w:link w:val="PrformatHTML"/>
    <w:uiPriority w:val="99"/>
    <w:semiHidden/>
    <w:rsid w:val="00B830D9"/>
    <w:rPr>
      <w:rFonts w:ascii="Consolas" w:hAnsi="Consolas" w:cs="Consolas"/>
      <w:color w:val="1A171B"/>
      <w:sz w:val="20"/>
      <w:szCs w:val="20"/>
      <w:lang w:eastAsia="en-US"/>
    </w:rPr>
  </w:style>
  <w:style w:type="table" w:styleId="Ombrageclair">
    <w:name w:val="Light Shading"/>
    <w:basedOn w:val="TableauNormal"/>
    <w:uiPriority w:val="60"/>
    <w:rsid w:val="0002617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moyenne1">
    <w:name w:val="Medium Shading 1"/>
    <w:basedOn w:val="TableauNormal"/>
    <w:uiPriority w:val="63"/>
    <w:rsid w:val="0002617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illeclaire">
    <w:name w:val="Light Grid"/>
    <w:basedOn w:val="TableauNormal"/>
    <w:uiPriority w:val="62"/>
    <w:rsid w:val="000261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ullet1">
    <w:name w:val="Bullet 1"/>
    <w:basedOn w:val="Normal"/>
    <w:link w:val="Bullet1Char"/>
    <w:qFormat/>
    <w:rsid w:val="009A15C8"/>
    <w:pPr>
      <w:numPr>
        <w:numId w:val="13"/>
      </w:numPr>
      <w:jc w:val="both"/>
    </w:pPr>
    <w:rPr>
      <w:rFonts w:asciiTheme="minorHAnsi" w:eastAsiaTheme="minorHAnsi" w:hAnsiTheme="minorHAnsi" w:cstheme="minorBidi"/>
      <w:color w:val="auto"/>
      <w:sz w:val="22"/>
    </w:rPr>
  </w:style>
  <w:style w:type="character" w:customStyle="1" w:styleId="Bullet1Char">
    <w:name w:val="Bullet 1 Char"/>
    <w:basedOn w:val="BodycopyChar"/>
    <w:link w:val="Bullet1"/>
    <w:rsid w:val="00832CA6"/>
    <w:rPr>
      <w:rFonts w:asciiTheme="minorHAnsi" w:eastAsiaTheme="minorHAnsi" w:hAnsiTheme="minorHAnsi" w:cstheme="minorBidi"/>
      <w:lang w:eastAsia="en-US"/>
    </w:rPr>
  </w:style>
  <w:style w:type="character" w:customStyle="1" w:styleId="BodycopyChar">
    <w:name w:val="Body copy Char"/>
    <w:basedOn w:val="Policepardfaut"/>
    <w:link w:val="Bodycopy"/>
    <w:rsid w:val="00B6368E"/>
    <w:rPr>
      <w:rFonts w:asciiTheme="minorHAnsi" w:eastAsiaTheme="minorHAnsi" w:hAnsiTheme="minorHAnsi" w:cstheme="minorBidi"/>
      <w:lang w:eastAsia="en-US"/>
    </w:rPr>
  </w:style>
  <w:style w:type="paragraph" w:customStyle="1" w:styleId="Bodycopy">
    <w:name w:val="Body copy"/>
    <w:basedOn w:val="Normal"/>
    <w:link w:val="BodycopyChar"/>
    <w:qFormat/>
    <w:rsid w:val="00B6368E"/>
    <w:pPr>
      <w:ind w:firstLine="227"/>
      <w:jc w:val="both"/>
    </w:pPr>
    <w:rPr>
      <w:rFonts w:asciiTheme="minorHAnsi" w:eastAsiaTheme="minorHAnsi" w:hAnsiTheme="minorHAnsi" w:cstheme="minorBidi"/>
      <w:color w:val="auto"/>
      <w:sz w:val="22"/>
    </w:rPr>
  </w:style>
  <w:style w:type="paragraph" w:customStyle="1" w:styleId="Bullet2">
    <w:name w:val="Bullet 2"/>
    <w:basedOn w:val="Bullet1"/>
    <w:link w:val="Bullet2Char"/>
    <w:qFormat/>
    <w:rsid w:val="009A15C8"/>
    <w:pPr>
      <w:numPr>
        <w:ilvl w:val="1"/>
      </w:numPr>
      <w:ind w:left="1134"/>
    </w:pPr>
  </w:style>
  <w:style w:type="character" w:customStyle="1" w:styleId="Bullet2Char">
    <w:name w:val="Bullet 2 Char"/>
    <w:basedOn w:val="Bullet1Char"/>
    <w:link w:val="Bullet2"/>
    <w:rsid w:val="005111AC"/>
    <w:rPr>
      <w:rFonts w:asciiTheme="minorHAnsi" w:eastAsiaTheme="minorHAnsi" w:hAnsiTheme="minorHAnsi" w:cstheme="minorBidi"/>
      <w:lang w:eastAsia="en-US"/>
    </w:rPr>
  </w:style>
  <w:style w:type="paragraph" w:customStyle="1" w:styleId="Bullet3">
    <w:name w:val="Bullet 3"/>
    <w:basedOn w:val="Bullet2"/>
    <w:qFormat/>
    <w:rsid w:val="009A15C8"/>
    <w:pPr>
      <w:numPr>
        <w:ilvl w:val="2"/>
      </w:numPr>
    </w:pPr>
  </w:style>
  <w:style w:type="paragraph" w:customStyle="1" w:styleId="Normaltextbold">
    <w:name w:val="Normal text bold"/>
    <w:basedOn w:val="Normal"/>
    <w:qFormat/>
    <w:rsid w:val="00D52533"/>
    <w:pPr>
      <w:ind w:firstLine="227"/>
      <w:jc w:val="both"/>
    </w:pPr>
    <w:rPr>
      <w:rFonts w:asciiTheme="minorHAnsi" w:eastAsiaTheme="minorHAnsi" w:hAnsiTheme="minorHAnsi" w:cstheme="minorBidi"/>
      <w:b/>
      <w:color w:val="auto"/>
      <w:sz w:val="22"/>
    </w:rPr>
  </w:style>
  <w:style w:type="paragraph" w:customStyle="1" w:styleId="AnnexeTitre4">
    <w:name w:val="Annexe Titre 4"/>
    <w:basedOn w:val="Titre4"/>
    <w:next w:val="Corpsdetexte"/>
    <w:qFormat/>
    <w:rsid w:val="00D52533"/>
    <w:pPr>
      <w:numPr>
        <w:ilvl w:val="0"/>
        <w:numId w:val="0"/>
      </w:numPr>
      <w:suppressAutoHyphens w:val="0"/>
      <w:spacing w:before="200"/>
    </w:pPr>
    <w:rPr>
      <w:rFonts w:eastAsiaTheme="majorEastAsia" w:cstheme="majorBidi"/>
      <w:b/>
      <w:bCs/>
      <w:i/>
      <w:iCs/>
      <w:sz w:val="22"/>
      <w:u w:val="single"/>
      <w:lang w:eastAsia="en-US"/>
    </w:rPr>
  </w:style>
  <w:style w:type="paragraph" w:customStyle="1" w:styleId="Annexe">
    <w:name w:val="Annexe"/>
    <w:basedOn w:val="Titre1"/>
    <w:next w:val="Corpsdetexte"/>
    <w:qFormat/>
    <w:rsid w:val="005111AC"/>
    <w:pPr>
      <w:pageBreakBefore w:val="0"/>
      <w:numPr>
        <w:numId w:val="26"/>
      </w:numPr>
      <w:tabs>
        <w:tab w:val="clear" w:pos="9356"/>
      </w:tabs>
      <w:suppressAutoHyphens w:val="0"/>
      <w:spacing w:before="480" w:after="120"/>
      <w:ind w:left="360" w:hanging="432"/>
    </w:pPr>
    <w:rPr>
      <w:rFonts w:eastAsiaTheme="majorEastAsia" w:cstheme="majorBidi"/>
      <w:bCs/>
      <w:sz w:val="40"/>
      <w:szCs w:val="28"/>
    </w:rPr>
  </w:style>
  <w:style w:type="paragraph" w:customStyle="1" w:styleId="AnnexeTitre3">
    <w:name w:val="Annexe Titre 3"/>
    <w:basedOn w:val="Titre3"/>
    <w:next w:val="Corpsdetexte"/>
    <w:qFormat/>
    <w:rsid w:val="00EE12FE"/>
    <w:pPr>
      <w:numPr>
        <w:ilvl w:val="0"/>
        <w:numId w:val="0"/>
      </w:numPr>
      <w:pBdr>
        <w:bottom w:val="single" w:sz="4" w:space="3" w:color="auto"/>
      </w:pBdr>
      <w:spacing w:before="200" w:after="120"/>
      <w:jc w:val="both"/>
    </w:pPr>
    <w:rPr>
      <w:rFonts w:eastAsiaTheme="majorEastAsia" w:cstheme="majorBid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0133">
      <w:bodyDiv w:val="1"/>
      <w:marLeft w:val="0"/>
      <w:marRight w:val="0"/>
      <w:marTop w:val="0"/>
      <w:marBottom w:val="0"/>
      <w:divBdr>
        <w:top w:val="none" w:sz="0" w:space="0" w:color="auto"/>
        <w:left w:val="none" w:sz="0" w:space="0" w:color="auto"/>
        <w:bottom w:val="none" w:sz="0" w:space="0" w:color="auto"/>
        <w:right w:val="none" w:sz="0" w:space="0" w:color="auto"/>
      </w:divBdr>
      <w:divsChild>
        <w:div w:id="988630839">
          <w:marLeft w:val="0"/>
          <w:marRight w:val="0"/>
          <w:marTop w:val="0"/>
          <w:marBottom w:val="0"/>
          <w:divBdr>
            <w:top w:val="none" w:sz="0" w:space="0" w:color="auto"/>
            <w:left w:val="none" w:sz="0" w:space="0" w:color="auto"/>
            <w:bottom w:val="none" w:sz="0" w:space="0" w:color="auto"/>
            <w:right w:val="none" w:sz="0" w:space="0" w:color="auto"/>
          </w:divBdr>
        </w:div>
        <w:div w:id="422730418">
          <w:marLeft w:val="0"/>
          <w:marRight w:val="0"/>
          <w:marTop w:val="0"/>
          <w:marBottom w:val="0"/>
          <w:divBdr>
            <w:top w:val="none" w:sz="0" w:space="0" w:color="auto"/>
            <w:left w:val="none" w:sz="0" w:space="0" w:color="auto"/>
            <w:bottom w:val="none" w:sz="0" w:space="0" w:color="auto"/>
            <w:right w:val="none" w:sz="0" w:space="0" w:color="auto"/>
          </w:divBdr>
        </w:div>
      </w:divsChild>
    </w:div>
    <w:div w:id="74784728">
      <w:bodyDiv w:val="1"/>
      <w:marLeft w:val="0"/>
      <w:marRight w:val="0"/>
      <w:marTop w:val="0"/>
      <w:marBottom w:val="0"/>
      <w:divBdr>
        <w:top w:val="none" w:sz="0" w:space="0" w:color="auto"/>
        <w:left w:val="none" w:sz="0" w:space="0" w:color="auto"/>
        <w:bottom w:val="none" w:sz="0" w:space="0" w:color="auto"/>
        <w:right w:val="none" w:sz="0" w:space="0" w:color="auto"/>
      </w:divBdr>
    </w:div>
    <w:div w:id="101147978">
      <w:bodyDiv w:val="1"/>
      <w:marLeft w:val="0"/>
      <w:marRight w:val="0"/>
      <w:marTop w:val="0"/>
      <w:marBottom w:val="0"/>
      <w:divBdr>
        <w:top w:val="none" w:sz="0" w:space="0" w:color="auto"/>
        <w:left w:val="none" w:sz="0" w:space="0" w:color="auto"/>
        <w:bottom w:val="none" w:sz="0" w:space="0" w:color="auto"/>
        <w:right w:val="none" w:sz="0" w:space="0" w:color="auto"/>
      </w:divBdr>
    </w:div>
    <w:div w:id="112871213">
      <w:bodyDiv w:val="1"/>
      <w:marLeft w:val="0"/>
      <w:marRight w:val="0"/>
      <w:marTop w:val="0"/>
      <w:marBottom w:val="0"/>
      <w:divBdr>
        <w:top w:val="none" w:sz="0" w:space="0" w:color="auto"/>
        <w:left w:val="none" w:sz="0" w:space="0" w:color="auto"/>
        <w:bottom w:val="none" w:sz="0" w:space="0" w:color="auto"/>
        <w:right w:val="none" w:sz="0" w:space="0" w:color="auto"/>
      </w:divBdr>
      <w:divsChild>
        <w:div w:id="429273895">
          <w:marLeft w:val="0"/>
          <w:marRight w:val="0"/>
          <w:marTop w:val="0"/>
          <w:marBottom w:val="0"/>
          <w:divBdr>
            <w:top w:val="none" w:sz="0" w:space="0" w:color="auto"/>
            <w:left w:val="none" w:sz="0" w:space="0" w:color="auto"/>
            <w:bottom w:val="none" w:sz="0" w:space="0" w:color="auto"/>
            <w:right w:val="none" w:sz="0" w:space="0" w:color="auto"/>
          </w:divBdr>
        </w:div>
        <w:div w:id="2052923507">
          <w:marLeft w:val="0"/>
          <w:marRight w:val="0"/>
          <w:marTop w:val="0"/>
          <w:marBottom w:val="0"/>
          <w:divBdr>
            <w:top w:val="none" w:sz="0" w:space="0" w:color="auto"/>
            <w:left w:val="none" w:sz="0" w:space="0" w:color="auto"/>
            <w:bottom w:val="none" w:sz="0" w:space="0" w:color="auto"/>
            <w:right w:val="none" w:sz="0" w:space="0" w:color="auto"/>
          </w:divBdr>
        </w:div>
        <w:div w:id="1725906283">
          <w:marLeft w:val="0"/>
          <w:marRight w:val="0"/>
          <w:marTop w:val="0"/>
          <w:marBottom w:val="0"/>
          <w:divBdr>
            <w:top w:val="none" w:sz="0" w:space="0" w:color="auto"/>
            <w:left w:val="none" w:sz="0" w:space="0" w:color="auto"/>
            <w:bottom w:val="none" w:sz="0" w:space="0" w:color="auto"/>
            <w:right w:val="none" w:sz="0" w:space="0" w:color="auto"/>
          </w:divBdr>
        </w:div>
        <w:div w:id="1253927800">
          <w:marLeft w:val="0"/>
          <w:marRight w:val="0"/>
          <w:marTop w:val="0"/>
          <w:marBottom w:val="0"/>
          <w:divBdr>
            <w:top w:val="none" w:sz="0" w:space="0" w:color="auto"/>
            <w:left w:val="none" w:sz="0" w:space="0" w:color="auto"/>
            <w:bottom w:val="none" w:sz="0" w:space="0" w:color="auto"/>
            <w:right w:val="none" w:sz="0" w:space="0" w:color="auto"/>
          </w:divBdr>
        </w:div>
      </w:divsChild>
    </w:div>
    <w:div w:id="133570590">
      <w:bodyDiv w:val="1"/>
      <w:marLeft w:val="0"/>
      <w:marRight w:val="0"/>
      <w:marTop w:val="0"/>
      <w:marBottom w:val="0"/>
      <w:divBdr>
        <w:top w:val="none" w:sz="0" w:space="0" w:color="auto"/>
        <w:left w:val="none" w:sz="0" w:space="0" w:color="auto"/>
        <w:bottom w:val="none" w:sz="0" w:space="0" w:color="auto"/>
        <w:right w:val="none" w:sz="0" w:space="0" w:color="auto"/>
      </w:divBdr>
    </w:div>
    <w:div w:id="238053603">
      <w:bodyDiv w:val="1"/>
      <w:marLeft w:val="0"/>
      <w:marRight w:val="0"/>
      <w:marTop w:val="0"/>
      <w:marBottom w:val="0"/>
      <w:divBdr>
        <w:top w:val="none" w:sz="0" w:space="0" w:color="auto"/>
        <w:left w:val="none" w:sz="0" w:space="0" w:color="auto"/>
        <w:bottom w:val="none" w:sz="0" w:space="0" w:color="auto"/>
        <w:right w:val="none" w:sz="0" w:space="0" w:color="auto"/>
      </w:divBdr>
    </w:div>
    <w:div w:id="238371371">
      <w:bodyDiv w:val="1"/>
      <w:marLeft w:val="0"/>
      <w:marRight w:val="0"/>
      <w:marTop w:val="0"/>
      <w:marBottom w:val="0"/>
      <w:divBdr>
        <w:top w:val="none" w:sz="0" w:space="0" w:color="auto"/>
        <w:left w:val="none" w:sz="0" w:space="0" w:color="auto"/>
        <w:bottom w:val="none" w:sz="0" w:space="0" w:color="auto"/>
        <w:right w:val="none" w:sz="0" w:space="0" w:color="auto"/>
      </w:divBdr>
    </w:div>
    <w:div w:id="256594832">
      <w:bodyDiv w:val="1"/>
      <w:marLeft w:val="0"/>
      <w:marRight w:val="0"/>
      <w:marTop w:val="0"/>
      <w:marBottom w:val="0"/>
      <w:divBdr>
        <w:top w:val="none" w:sz="0" w:space="0" w:color="auto"/>
        <w:left w:val="none" w:sz="0" w:space="0" w:color="auto"/>
        <w:bottom w:val="none" w:sz="0" w:space="0" w:color="auto"/>
        <w:right w:val="none" w:sz="0" w:space="0" w:color="auto"/>
      </w:divBdr>
    </w:div>
    <w:div w:id="282804751">
      <w:bodyDiv w:val="1"/>
      <w:marLeft w:val="0"/>
      <w:marRight w:val="0"/>
      <w:marTop w:val="0"/>
      <w:marBottom w:val="0"/>
      <w:divBdr>
        <w:top w:val="none" w:sz="0" w:space="0" w:color="auto"/>
        <w:left w:val="none" w:sz="0" w:space="0" w:color="auto"/>
        <w:bottom w:val="none" w:sz="0" w:space="0" w:color="auto"/>
        <w:right w:val="none" w:sz="0" w:space="0" w:color="auto"/>
      </w:divBdr>
    </w:div>
    <w:div w:id="324286709">
      <w:bodyDiv w:val="1"/>
      <w:marLeft w:val="0"/>
      <w:marRight w:val="0"/>
      <w:marTop w:val="0"/>
      <w:marBottom w:val="0"/>
      <w:divBdr>
        <w:top w:val="none" w:sz="0" w:space="0" w:color="auto"/>
        <w:left w:val="none" w:sz="0" w:space="0" w:color="auto"/>
        <w:bottom w:val="none" w:sz="0" w:space="0" w:color="auto"/>
        <w:right w:val="none" w:sz="0" w:space="0" w:color="auto"/>
      </w:divBdr>
    </w:div>
    <w:div w:id="363335090">
      <w:bodyDiv w:val="1"/>
      <w:marLeft w:val="0"/>
      <w:marRight w:val="0"/>
      <w:marTop w:val="0"/>
      <w:marBottom w:val="0"/>
      <w:divBdr>
        <w:top w:val="none" w:sz="0" w:space="0" w:color="auto"/>
        <w:left w:val="none" w:sz="0" w:space="0" w:color="auto"/>
        <w:bottom w:val="none" w:sz="0" w:space="0" w:color="auto"/>
        <w:right w:val="none" w:sz="0" w:space="0" w:color="auto"/>
      </w:divBdr>
    </w:div>
    <w:div w:id="391586346">
      <w:bodyDiv w:val="1"/>
      <w:marLeft w:val="0"/>
      <w:marRight w:val="0"/>
      <w:marTop w:val="0"/>
      <w:marBottom w:val="0"/>
      <w:divBdr>
        <w:top w:val="none" w:sz="0" w:space="0" w:color="auto"/>
        <w:left w:val="none" w:sz="0" w:space="0" w:color="auto"/>
        <w:bottom w:val="none" w:sz="0" w:space="0" w:color="auto"/>
        <w:right w:val="none" w:sz="0" w:space="0" w:color="auto"/>
      </w:divBdr>
    </w:div>
    <w:div w:id="466899726">
      <w:bodyDiv w:val="1"/>
      <w:marLeft w:val="0"/>
      <w:marRight w:val="0"/>
      <w:marTop w:val="0"/>
      <w:marBottom w:val="0"/>
      <w:divBdr>
        <w:top w:val="none" w:sz="0" w:space="0" w:color="auto"/>
        <w:left w:val="none" w:sz="0" w:space="0" w:color="auto"/>
        <w:bottom w:val="none" w:sz="0" w:space="0" w:color="auto"/>
        <w:right w:val="none" w:sz="0" w:space="0" w:color="auto"/>
      </w:divBdr>
    </w:div>
    <w:div w:id="575483803">
      <w:bodyDiv w:val="1"/>
      <w:marLeft w:val="0"/>
      <w:marRight w:val="0"/>
      <w:marTop w:val="0"/>
      <w:marBottom w:val="0"/>
      <w:divBdr>
        <w:top w:val="none" w:sz="0" w:space="0" w:color="auto"/>
        <w:left w:val="none" w:sz="0" w:space="0" w:color="auto"/>
        <w:bottom w:val="none" w:sz="0" w:space="0" w:color="auto"/>
        <w:right w:val="none" w:sz="0" w:space="0" w:color="auto"/>
      </w:divBdr>
      <w:divsChild>
        <w:div w:id="269969022">
          <w:marLeft w:val="0"/>
          <w:marRight w:val="0"/>
          <w:marTop w:val="0"/>
          <w:marBottom w:val="0"/>
          <w:divBdr>
            <w:top w:val="none" w:sz="0" w:space="0" w:color="auto"/>
            <w:left w:val="none" w:sz="0" w:space="0" w:color="auto"/>
            <w:bottom w:val="none" w:sz="0" w:space="0" w:color="auto"/>
            <w:right w:val="none" w:sz="0" w:space="0" w:color="auto"/>
          </w:divBdr>
          <w:divsChild>
            <w:div w:id="95625224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686639011">
      <w:bodyDiv w:val="1"/>
      <w:marLeft w:val="0"/>
      <w:marRight w:val="0"/>
      <w:marTop w:val="0"/>
      <w:marBottom w:val="0"/>
      <w:divBdr>
        <w:top w:val="none" w:sz="0" w:space="0" w:color="auto"/>
        <w:left w:val="none" w:sz="0" w:space="0" w:color="auto"/>
        <w:bottom w:val="none" w:sz="0" w:space="0" w:color="auto"/>
        <w:right w:val="none" w:sz="0" w:space="0" w:color="auto"/>
      </w:divBdr>
    </w:div>
    <w:div w:id="789783787">
      <w:bodyDiv w:val="1"/>
      <w:marLeft w:val="0"/>
      <w:marRight w:val="0"/>
      <w:marTop w:val="0"/>
      <w:marBottom w:val="0"/>
      <w:divBdr>
        <w:top w:val="none" w:sz="0" w:space="0" w:color="auto"/>
        <w:left w:val="none" w:sz="0" w:space="0" w:color="auto"/>
        <w:bottom w:val="none" w:sz="0" w:space="0" w:color="auto"/>
        <w:right w:val="none" w:sz="0" w:space="0" w:color="auto"/>
      </w:divBdr>
      <w:divsChild>
        <w:div w:id="429739811">
          <w:marLeft w:val="0"/>
          <w:marRight w:val="0"/>
          <w:marTop w:val="0"/>
          <w:marBottom w:val="0"/>
          <w:divBdr>
            <w:top w:val="none" w:sz="0" w:space="0" w:color="auto"/>
            <w:left w:val="none" w:sz="0" w:space="0" w:color="auto"/>
            <w:bottom w:val="none" w:sz="0" w:space="0" w:color="auto"/>
            <w:right w:val="none" w:sz="0" w:space="0" w:color="auto"/>
          </w:divBdr>
        </w:div>
        <w:div w:id="506945684">
          <w:marLeft w:val="0"/>
          <w:marRight w:val="0"/>
          <w:marTop w:val="0"/>
          <w:marBottom w:val="0"/>
          <w:divBdr>
            <w:top w:val="none" w:sz="0" w:space="0" w:color="auto"/>
            <w:left w:val="none" w:sz="0" w:space="0" w:color="auto"/>
            <w:bottom w:val="none" w:sz="0" w:space="0" w:color="auto"/>
            <w:right w:val="none" w:sz="0" w:space="0" w:color="auto"/>
          </w:divBdr>
        </w:div>
        <w:div w:id="1140002298">
          <w:marLeft w:val="0"/>
          <w:marRight w:val="0"/>
          <w:marTop w:val="0"/>
          <w:marBottom w:val="0"/>
          <w:divBdr>
            <w:top w:val="none" w:sz="0" w:space="0" w:color="auto"/>
            <w:left w:val="none" w:sz="0" w:space="0" w:color="auto"/>
            <w:bottom w:val="none" w:sz="0" w:space="0" w:color="auto"/>
            <w:right w:val="none" w:sz="0" w:space="0" w:color="auto"/>
          </w:divBdr>
        </w:div>
        <w:div w:id="1250114198">
          <w:marLeft w:val="0"/>
          <w:marRight w:val="0"/>
          <w:marTop w:val="0"/>
          <w:marBottom w:val="0"/>
          <w:divBdr>
            <w:top w:val="none" w:sz="0" w:space="0" w:color="auto"/>
            <w:left w:val="none" w:sz="0" w:space="0" w:color="auto"/>
            <w:bottom w:val="none" w:sz="0" w:space="0" w:color="auto"/>
            <w:right w:val="none" w:sz="0" w:space="0" w:color="auto"/>
          </w:divBdr>
        </w:div>
        <w:div w:id="838540576">
          <w:marLeft w:val="0"/>
          <w:marRight w:val="0"/>
          <w:marTop w:val="0"/>
          <w:marBottom w:val="0"/>
          <w:divBdr>
            <w:top w:val="none" w:sz="0" w:space="0" w:color="auto"/>
            <w:left w:val="none" w:sz="0" w:space="0" w:color="auto"/>
            <w:bottom w:val="none" w:sz="0" w:space="0" w:color="auto"/>
            <w:right w:val="none" w:sz="0" w:space="0" w:color="auto"/>
          </w:divBdr>
        </w:div>
        <w:div w:id="1586260426">
          <w:marLeft w:val="0"/>
          <w:marRight w:val="0"/>
          <w:marTop w:val="0"/>
          <w:marBottom w:val="0"/>
          <w:divBdr>
            <w:top w:val="none" w:sz="0" w:space="0" w:color="auto"/>
            <w:left w:val="none" w:sz="0" w:space="0" w:color="auto"/>
            <w:bottom w:val="none" w:sz="0" w:space="0" w:color="auto"/>
            <w:right w:val="none" w:sz="0" w:space="0" w:color="auto"/>
          </w:divBdr>
        </w:div>
        <w:div w:id="517962633">
          <w:marLeft w:val="0"/>
          <w:marRight w:val="0"/>
          <w:marTop w:val="0"/>
          <w:marBottom w:val="0"/>
          <w:divBdr>
            <w:top w:val="none" w:sz="0" w:space="0" w:color="auto"/>
            <w:left w:val="none" w:sz="0" w:space="0" w:color="auto"/>
            <w:bottom w:val="none" w:sz="0" w:space="0" w:color="auto"/>
            <w:right w:val="none" w:sz="0" w:space="0" w:color="auto"/>
          </w:divBdr>
        </w:div>
        <w:div w:id="1765343276">
          <w:marLeft w:val="0"/>
          <w:marRight w:val="0"/>
          <w:marTop w:val="0"/>
          <w:marBottom w:val="0"/>
          <w:divBdr>
            <w:top w:val="none" w:sz="0" w:space="0" w:color="auto"/>
            <w:left w:val="none" w:sz="0" w:space="0" w:color="auto"/>
            <w:bottom w:val="none" w:sz="0" w:space="0" w:color="auto"/>
            <w:right w:val="none" w:sz="0" w:space="0" w:color="auto"/>
          </w:divBdr>
        </w:div>
      </w:divsChild>
    </w:div>
    <w:div w:id="790512460">
      <w:bodyDiv w:val="1"/>
      <w:marLeft w:val="0"/>
      <w:marRight w:val="0"/>
      <w:marTop w:val="0"/>
      <w:marBottom w:val="0"/>
      <w:divBdr>
        <w:top w:val="none" w:sz="0" w:space="0" w:color="auto"/>
        <w:left w:val="none" w:sz="0" w:space="0" w:color="auto"/>
        <w:bottom w:val="none" w:sz="0" w:space="0" w:color="auto"/>
        <w:right w:val="none" w:sz="0" w:space="0" w:color="auto"/>
      </w:divBdr>
    </w:div>
    <w:div w:id="793788357">
      <w:bodyDiv w:val="1"/>
      <w:marLeft w:val="0"/>
      <w:marRight w:val="0"/>
      <w:marTop w:val="0"/>
      <w:marBottom w:val="0"/>
      <w:divBdr>
        <w:top w:val="none" w:sz="0" w:space="0" w:color="auto"/>
        <w:left w:val="none" w:sz="0" w:space="0" w:color="auto"/>
        <w:bottom w:val="none" w:sz="0" w:space="0" w:color="auto"/>
        <w:right w:val="none" w:sz="0" w:space="0" w:color="auto"/>
      </w:divBdr>
    </w:div>
    <w:div w:id="820080105">
      <w:bodyDiv w:val="1"/>
      <w:marLeft w:val="0"/>
      <w:marRight w:val="0"/>
      <w:marTop w:val="0"/>
      <w:marBottom w:val="0"/>
      <w:divBdr>
        <w:top w:val="none" w:sz="0" w:space="0" w:color="auto"/>
        <w:left w:val="none" w:sz="0" w:space="0" w:color="auto"/>
        <w:bottom w:val="none" w:sz="0" w:space="0" w:color="auto"/>
        <w:right w:val="none" w:sz="0" w:space="0" w:color="auto"/>
      </w:divBdr>
    </w:div>
    <w:div w:id="841699294">
      <w:bodyDiv w:val="1"/>
      <w:marLeft w:val="0"/>
      <w:marRight w:val="0"/>
      <w:marTop w:val="0"/>
      <w:marBottom w:val="0"/>
      <w:divBdr>
        <w:top w:val="none" w:sz="0" w:space="0" w:color="auto"/>
        <w:left w:val="none" w:sz="0" w:space="0" w:color="auto"/>
        <w:bottom w:val="none" w:sz="0" w:space="0" w:color="auto"/>
        <w:right w:val="none" w:sz="0" w:space="0" w:color="auto"/>
      </w:divBdr>
      <w:divsChild>
        <w:div w:id="802970114">
          <w:marLeft w:val="0"/>
          <w:marRight w:val="0"/>
          <w:marTop w:val="0"/>
          <w:marBottom w:val="0"/>
          <w:divBdr>
            <w:top w:val="none" w:sz="0" w:space="0" w:color="auto"/>
            <w:left w:val="none" w:sz="0" w:space="0" w:color="auto"/>
            <w:bottom w:val="none" w:sz="0" w:space="0" w:color="auto"/>
            <w:right w:val="none" w:sz="0" w:space="0" w:color="auto"/>
          </w:divBdr>
          <w:divsChild>
            <w:div w:id="213609811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916788469">
      <w:bodyDiv w:val="1"/>
      <w:marLeft w:val="0"/>
      <w:marRight w:val="0"/>
      <w:marTop w:val="0"/>
      <w:marBottom w:val="0"/>
      <w:divBdr>
        <w:top w:val="none" w:sz="0" w:space="0" w:color="auto"/>
        <w:left w:val="none" w:sz="0" w:space="0" w:color="auto"/>
        <w:bottom w:val="none" w:sz="0" w:space="0" w:color="auto"/>
        <w:right w:val="none" w:sz="0" w:space="0" w:color="auto"/>
      </w:divBdr>
      <w:divsChild>
        <w:div w:id="935989527">
          <w:marLeft w:val="0"/>
          <w:marRight w:val="0"/>
          <w:marTop w:val="0"/>
          <w:marBottom w:val="0"/>
          <w:divBdr>
            <w:top w:val="none" w:sz="0" w:space="0" w:color="auto"/>
            <w:left w:val="none" w:sz="0" w:space="0" w:color="auto"/>
            <w:bottom w:val="none" w:sz="0" w:space="0" w:color="auto"/>
            <w:right w:val="none" w:sz="0" w:space="0" w:color="auto"/>
          </w:divBdr>
          <w:divsChild>
            <w:div w:id="167591161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929509152">
      <w:bodyDiv w:val="1"/>
      <w:marLeft w:val="0"/>
      <w:marRight w:val="0"/>
      <w:marTop w:val="0"/>
      <w:marBottom w:val="0"/>
      <w:divBdr>
        <w:top w:val="none" w:sz="0" w:space="0" w:color="auto"/>
        <w:left w:val="none" w:sz="0" w:space="0" w:color="auto"/>
        <w:bottom w:val="none" w:sz="0" w:space="0" w:color="auto"/>
        <w:right w:val="none" w:sz="0" w:space="0" w:color="auto"/>
      </w:divBdr>
    </w:div>
    <w:div w:id="962149784">
      <w:bodyDiv w:val="1"/>
      <w:marLeft w:val="0"/>
      <w:marRight w:val="0"/>
      <w:marTop w:val="0"/>
      <w:marBottom w:val="0"/>
      <w:divBdr>
        <w:top w:val="none" w:sz="0" w:space="0" w:color="auto"/>
        <w:left w:val="none" w:sz="0" w:space="0" w:color="auto"/>
        <w:bottom w:val="none" w:sz="0" w:space="0" w:color="auto"/>
        <w:right w:val="none" w:sz="0" w:space="0" w:color="auto"/>
      </w:divBdr>
      <w:divsChild>
        <w:div w:id="258148280">
          <w:marLeft w:val="0"/>
          <w:marRight w:val="0"/>
          <w:marTop w:val="0"/>
          <w:marBottom w:val="0"/>
          <w:divBdr>
            <w:top w:val="none" w:sz="0" w:space="0" w:color="auto"/>
            <w:left w:val="none" w:sz="0" w:space="0" w:color="auto"/>
            <w:bottom w:val="none" w:sz="0" w:space="0" w:color="auto"/>
            <w:right w:val="none" w:sz="0" w:space="0" w:color="auto"/>
          </w:divBdr>
        </w:div>
        <w:div w:id="603617065">
          <w:marLeft w:val="0"/>
          <w:marRight w:val="0"/>
          <w:marTop w:val="0"/>
          <w:marBottom w:val="0"/>
          <w:divBdr>
            <w:top w:val="none" w:sz="0" w:space="0" w:color="auto"/>
            <w:left w:val="none" w:sz="0" w:space="0" w:color="auto"/>
            <w:bottom w:val="none" w:sz="0" w:space="0" w:color="auto"/>
            <w:right w:val="none" w:sz="0" w:space="0" w:color="auto"/>
          </w:divBdr>
        </w:div>
        <w:div w:id="2133550219">
          <w:marLeft w:val="0"/>
          <w:marRight w:val="0"/>
          <w:marTop w:val="0"/>
          <w:marBottom w:val="0"/>
          <w:divBdr>
            <w:top w:val="none" w:sz="0" w:space="0" w:color="auto"/>
            <w:left w:val="none" w:sz="0" w:space="0" w:color="auto"/>
            <w:bottom w:val="none" w:sz="0" w:space="0" w:color="auto"/>
            <w:right w:val="none" w:sz="0" w:space="0" w:color="auto"/>
          </w:divBdr>
        </w:div>
        <w:div w:id="1170678141">
          <w:marLeft w:val="0"/>
          <w:marRight w:val="0"/>
          <w:marTop w:val="0"/>
          <w:marBottom w:val="0"/>
          <w:divBdr>
            <w:top w:val="none" w:sz="0" w:space="0" w:color="auto"/>
            <w:left w:val="none" w:sz="0" w:space="0" w:color="auto"/>
            <w:bottom w:val="none" w:sz="0" w:space="0" w:color="auto"/>
            <w:right w:val="none" w:sz="0" w:space="0" w:color="auto"/>
          </w:divBdr>
        </w:div>
        <w:div w:id="1231846340">
          <w:marLeft w:val="0"/>
          <w:marRight w:val="0"/>
          <w:marTop w:val="0"/>
          <w:marBottom w:val="0"/>
          <w:divBdr>
            <w:top w:val="none" w:sz="0" w:space="0" w:color="auto"/>
            <w:left w:val="none" w:sz="0" w:space="0" w:color="auto"/>
            <w:bottom w:val="none" w:sz="0" w:space="0" w:color="auto"/>
            <w:right w:val="none" w:sz="0" w:space="0" w:color="auto"/>
          </w:divBdr>
        </w:div>
      </w:divsChild>
    </w:div>
    <w:div w:id="972637663">
      <w:bodyDiv w:val="1"/>
      <w:marLeft w:val="0"/>
      <w:marRight w:val="0"/>
      <w:marTop w:val="0"/>
      <w:marBottom w:val="0"/>
      <w:divBdr>
        <w:top w:val="none" w:sz="0" w:space="0" w:color="auto"/>
        <w:left w:val="none" w:sz="0" w:space="0" w:color="auto"/>
        <w:bottom w:val="none" w:sz="0" w:space="0" w:color="auto"/>
        <w:right w:val="none" w:sz="0" w:space="0" w:color="auto"/>
      </w:divBdr>
    </w:div>
    <w:div w:id="1075006426">
      <w:bodyDiv w:val="1"/>
      <w:marLeft w:val="0"/>
      <w:marRight w:val="0"/>
      <w:marTop w:val="0"/>
      <w:marBottom w:val="0"/>
      <w:divBdr>
        <w:top w:val="none" w:sz="0" w:space="0" w:color="auto"/>
        <w:left w:val="none" w:sz="0" w:space="0" w:color="auto"/>
        <w:bottom w:val="none" w:sz="0" w:space="0" w:color="auto"/>
        <w:right w:val="none" w:sz="0" w:space="0" w:color="auto"/>
      </w:divBdr>
      <w:divsChild>
        <w:div w:id="351341837">
          <w:marLeft w:val="0"/>
          <w:marRight w:val="0"/>
          <w:marTop w:val="0"/>
          <w:marBottom w:val="0"/>
          <w:divBdr>
            <w:top w:val="none" w:sz="0" w:space="0" w:color="auto"/>
            <w:left w:val="none" w:sz="0" w:space="0" w:color="auto"/>
            <w:bottom w:val="none" w:sz="0" w:space="0" w:color="auto"/>
            <w:right w:val="none" w:sz="0" w:space="0" w:color="auto"/>
          </w:divBdr>
          <w:divsChild>
            <w:div w:id="177852528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6122823">
      <w:bodyDiv w:val="1"/>
      <w:marLeft w:val="0"/>
      <w:marRight w:val="0"/>
      <w:marTop w:val="0"/>
      <w:marBottom w:val="0"/>
      <w:divBdr>
        <w:top w:val="none" w:sz="0" w:space="0" w:color="auto"/>
        <w:left w:val="none" w:sz="0" w:space="0" w:color="auto"/>
        <w:bottom w:val="none" w:sz="0" w:space="0" w:color="auto"/>
        <w:right w:val="none" w:sz="0" w:space="0" w:color="auto"/>
      </w:divBdr>
      <w:divsChild>
        <w:div w:id="319575274">
          <w:marLeft w:val="0"/>
          <w:marRight w:val="0"/>
          <w:marTop w:val="0"/>
          <w:marBottom w:val="0"/>
          <w:divBdr>
            <w:top w:val="none" w:sz="0" w:space="0" w:color="auto"/>
            <w:left w:val="none" w:sz="0" w:space="0" w:color="auto"/>
            <w:bottom w:val="none" w:sz="0" w:space="0" w:color="auto"/>
            <w:right w:val="none" w:sz="0" w:space="0" w:color="auto"/>
          </w:divBdr>
          <w:divsChild>
            <w:div w:id="1657295087">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1188522692">
      <w:bodyDiv w:val="1"/>
      <w:marLeft w:val="0"/>
      <w:marRight w:val="0"/>
      <w:marTop w:val="0"/>
      <w:marBottom w:val="0"/>
      <w:divBdr>
        <w:top w:val="none" w:sz="0" w:space="0" w:color="auto"/>
        <w:left w:val="none" w:sz="0" w:space="0" w:color="auto"/>
        <w:bottom w:val="none" w:sz="0" w:space="0" w:color="auto"/>
        <w:right w:val="none" w:sz="0" w:space="0" w:color="auto"/>
      </w:divBdr>
      <w:divsChild>
        <w:div w:id="2135514523">
          <w:marLeft w:val="0"/>
          <w:marRight w:val="0"/>
          <w:marTop w:val="0"/>
          <w:marBottom w:val="0"/>
          <w:divBdr>
            <w:top w:val="none" w:sz="0" w:space="0" w:color="auto"/>
            <w:left w:val="none" w:sz="0" w:space="0" w:color="auto"/>
            <w:bottom w:val="none" w:sz="0" w:space="0" w:color="auto"/>
            <w:right w:val="none" w:sz="0" w:space="0" w:color="auto"/>
          </w:divBdr>
        </w:div>
        <w:div w:id="416824352">
          <w:marLeft w:val="0"/>
          <w:marRight w:val="0"/>
          <w:marTop w:val="0"/>
          <w:marBottom w:val="0"/>
          <w:divBdr>
            <w:top w:val="none" w:sz="0" w:space="0" w:color="auto"/>
            <w:left w:val="none" w:sz="0" w:space="0" w:color="auto"/>
            <w:bottom w:val="none" w:sz="0" w:space="0" w:color="auto"/>
            <w:right w:val="none" w:sz="0" w:space="0" w:color="auto"/>
          </w:divBdr>
        </w:div>
        <w:div w:id="522741673">
          <w:marLeft w:val="0"/>
          <w:marRight w:val="0"/>
          <w:marTop w:val="0"/>
          <w:marBottom w:val="0"/>
          <w:divBdr>
            <w:top w:val="none" w:sz="0" w:space="0" w:color="auto"/>
            <w:left w:val="none" w:sz="0" w:space="0" w:color="auto"/>
            <w:bottom w:val="none" w:sz="0" w:space="0" w:color="auto"/>
            <w:right w:val="none" w:sz="0" w:space="0" w:color="auto"/>
          </w:divBdr>
        </w:div>
        <w:div w:id="1444617490">
          <w:marLeft w:val="0"/>
          <w:marRight w:val="0"/>
          <w:marTop w:val="0"/>
          <w:marBottom w:val="0"/>
          <w:divBdr>
            <w:top w:val="none" w:sz="0" w:space="0" w:color="auto"/>
            <w:left w:val="none" w:sz="0" w:space="0" w:color="auto"/>
            <w:bottom w:val="none" w:sz="0" w:space="0" w:color="auto"/>
            <w:right w:val="none" w:sz="0" w:space="0" w:color="auto"/>
          </w:divBdr>
        </w:div>
        <w:div w:id="1169515952">
          <w:marLeft w:val="0"/>
          <w:marRight w:val="0"/>
          <w:marTop w:val="0"/>
          <w:marBottom w:val="0"/>
          <w:divBdr>
            <w:top w:val="none" w:sz="0" w:space="0" w:color="auto"/>
            <w:left w:val="none" w:sz="0" w:space="0" w:color="auto"/>
            <w:bottom w:val="none" w:sz="0" w:space="0" w:color="auto"/>
            <w:right w:val="none" w:sz="0" w:space="0" w:color="auto"/>
          </w:divBdr>
        </w:div>
      </w:divsChild>
    </w:div>
    <w:div w:id="1209486170">
      <w:bodyDiv w:val="1"/>
      <w:marLeft w:val="0"/>
      <w:marRight w:val="0"/>
      <w:marTop w:val="0"/>
      <w:marBottom w:val="0"/>
      <w:divBdr>
        <w:top w:val="none" w:sz="0" w:space="0" w:color="auto"/>
        <w:left w:val="none" w:sz="0" w:space="0" w:color="auto"/>
        <w:bottom w:val="none" w:sz="0" w:space="0" w:color="auto"/>
        <w:right w:val="none" w:sz="0" w:space="0" w:color="auto"/>
      </w:divBdr>
    </w:div>
    <w:div w:id="1251886891">
      <w:bodyDiv w:val="1"/>
      <w:marLeft w:val="0"/>
      <w:marRight w:val="0"/>
      <w:marTop w:val="0"/>
      <w:marBottom w:val="0"/>
      <w:divBdr>
        <w:top w:val="none" w:sz="0" w:space="0" w:color="auto"/>
        <w:left w:val="none" w:sz="0" w:space="0" w:color="auto"/>
        <w:bottom w:val="none" w:sz="0" w:space="0" w:color="auto"/>
        <w:right w:val="none" w:sz="0" w:space="0" w:color="auto"/>
      </w:divBdr>
    </w:div>
    <w:div w:id="1483304279">
      <w:bodyDiv w:val="1"/>
      <w:marLeft w:val="0"/>
      <w:marRight w:val="0"/>
      <w:marTop w:val="0"/>
      <w:marBottom w:val="0"/>
      <w:divBdr>
        <w:top w:val="none" w:sz="0" w:space="0" w:color="auto"/>
        <w:left w:val="none" w:sz="0" w:space="0" w:color="auto"/>
        <w:bottom w:val="none" w:sz="0" w:space="0" w:color="auto"/>
        <w:right w:val="none" w:sz="0" w:space="0" w:color="auto"/>
      </w:divBdr>
      <w:divsChild>
        <w:div w:id="1230768995">
          <w:marLeft w:val="0"/>
          <w:marRight w:val="0"/>
          <w:marTop w:val="0"/>
          <w:marBottom w:val="0"/>
          <w:divBdr>
            <w:top w:val="none" w:sz="0" w:space="0" w:color="auto"/>
            <w:left w:val="none" w:sz="0" w:space="0" w:color="auto"/>
            <w:bottom w:val="none" w:sz="0" w:space="0" w:color="auto"/>
            <w:right w:val="none" w:sz="0" w:space="0" w:color="auto"/>
          </w:divBdr>
        </w:div>
        <w:div w:id="1311013232">
          <w:marLeft w:val="0"/>
          <w:marRight w:val="0"/>
          <w:marTop w:val="0"/>
          <w:marBottom w:val="0"/>
          <w:divBdr>
            <w:top w:val="none" w:sz="0" w:space="0" w:color="auto"/>
            <w:left w:val="none" w:sz="0" w:space="0" w:color="auto"/>
            <w:bottom w:val="none" w:sz="0" w:space="0" w:color="auto"/>
            <w:right w:val="none" w:sz="0" w:space="0" w:color="auto"/>
          </w:divBdr>
        </w:div>
        <w:div w:id="2039353544">
          <w:marLeft w:val="0"/>
          <w:marRight w:val="0"/>
          <w:marTop w:val="0"/>
          <w:marBottom w:val="0"/>
          <w:divBdr>
            <w:top w:val="none" w:sz="0" w:space="0" w:color="auto"/>
            <w:left w:val="none" w:sz="0" w:space="0" w:color="auto"/>
            <w:bottom w:val="none" w:sz="0" w:space="0" w:color="auto"/>
            <w:right w:val="none" w:sz="0" w:space="0" w:color="auto"/>
          </w:divBdr>
        </w:div>
      </w:divsChild>
    </w:div>
    <w:div w:id="1508206194">
      <w:bodyDiv w:val="1"/>
      <w:marLeft w:val="0"/>
      <w:marRight w:val="0"/>
      <w:marTop w:val="0"/>
      <w:marBottom w:val="0"/>
      <w:divBdr>
        <w:top w:val="none" w:sz="0" w:space="0" w:color="auto"/>
        <w:left w:val="none" w:sz="0" w:space="0" w:color="auto"/>
        <w:bottom w:val="none" w:sz="0" w:space="0" w:color="auto"/>
        <w:right w:val="none" w:sz="0" w:space="0" w:color="auto"/>
      </w:divBdr>
    </w:div>
    <w:div w:id="1533953964">
      <w:bodyDiv w:val="1"/>
      <w:marLeft w:val="0"/>
      <w:marRight w:val="0"/>
      <w:marTop w:val="0"/>
      <w:marBottom w:val="0"/>
      <w:divBdr>
        <w:top w:val="none" w:sz="0" w:space="0" w:color="auto"/>
        <w:left w:val="none" w:sz="0" w:space="0" w:color="auto"/>
        <w:bottom w:val="none" w:sz="0" w:space="0" w:color="auto"/>
        <w:right w:val="none" w:sz="0" w:space="0" w:color="auto"/>
      </w:divBdr>
    </w:div>
    <w:div w:id="1551649575">
      <w:bodyDiv w:val="1"/>
      <w:marLeft w:val="0"/>
      <w:marRight w:val="0"/>
      <w:marTop w:val="0"/>
      <w:marBottom w:val="0"/>
      <w:divBdr>
        <w:top w:val="none" w:sz="0" w:space="0" w:color="auto"/>
        <w:left w:val="none" w:sz="0" w:space="0" w:color="auto"/>
        <w:bottom w:val="none" w:sz="0" w:space="0" w:color="auto"/>
        <w:right w:val="none" w:sz="0" w:space="0" w:color="auto"/>
      </w:divBdr>
      <w:divsChild>
        <w:div w:id="7679275">
          <w:marLeft w:val="0"/>
          <w:marRight w:val="0"/>
          <w:marTop w:val="0"/>
          <w:marBottom w:val="0"/>
          <w:divBdr>
            <w:top w:val="none" w:sz="0" w:space="0" w:color="auto"/>
            <w:left w:val="none" w:sz="0" w:space="0" w:color="auto"/>
            <w:bottom w:val="none" w:sz="0" w:space="0" w:color="auto"/>
            <w:right w:val="none" w:sz="0" w:space="0" w:color="auto"/>
          </w:divBdr>
          <w:divsChild>
            <w:div w:id="148192205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1683971024">
      <w:bodyDiv w:val="1"/>
      <w:marLeft w:val="0"/>
      <w:marRight w:val="0"/>
      <w:marTop w:val="0"/>
      <w:marBottom w:val="0"/>
      <w:divBdr>
        <w:top w:val="none" w:sz="0" w:space="0" w:color="auto"/>
        <w:left w:val="none" w:sz="0" w:space="0" w:color="auto"/>
        <w:bottom w:val="none" w:sz="0" w:space="0" w:color="auto"/>
        <w:right w:val="none" w:sz="0" w:space="0" w:color="auto"/>
      </w:divBdr>
    </w:div>
    <w:div w:id="1721436104">
      <w:bodyDiv w:val="1"/>
      <w:marLeft w:val="0"/>
      <w:marRight w:val="0"/>
      <w:marTop w:val="0"/>
      <w:marBottom w:val="0"/>
      <w:divBdr>
        <w:top w:val="none" w:sz="0" w:space="0" w:color="auto"/>
        <w:left w:val="none" w:sz="0" w:space="0" w:color="auto"/>
        <w:bottom w:val="none" w:sz="0" w:space="0" w:color="auto"/>
        <w:right w:val="none" w:sz="0" w:space="0" w:color="auto"/>
      </w:divBdr>
    </w:div>
    <w:div w:id="1767994496">
      <w:bodyDiv w:val="1"/>
      <w:marLeft w:val="0"/>
      <w:marRight w:val="0"/>
      <w:marTop w:val="0"/>
      <w:marBottom w:val="0"/>
      <w:divBdr>
        <w:top w:val="none" w:sz="0" w:space="0" w:color="auto"/>
        <w:left w:val="none" w:sz="0" w:space="0" w:color="auto"/>
        <w:bottom w:val="none" w:sz="0" w:space="0" w:color="auto"/>
        <w:right w:val="none" w:sz="0" w:space="0" w:color="auto"/>
      </w:divBdr>
    </w:div>
    <w:div w:id="1808550337">
      <w:bodyDiv w:val="1"/>
      <w:marLeft w:val="0"/>
      <w:marRight w:val="0"/>
      <w:marTop w:val="0"/>
      <w:marBottom w:val="0"/>
      <w:divBdr>
        <w:top w:val="none" w:sz="0" w:space="0" w:color="auto"/>
        <w:left w:val="none" w:sz="0" w:space="0" w:color="auto"/>
        <w:bottom w:val="none" w:sz="0" w:space="0" w:color="auto"/>
        <w:right w:val="none" w:sz="0" w:space="0" w:color="auto"/>
      </w:divBdr>
    </w:div>
    <w:div w:id="1954826528">
      <w:bodyDiv w:val="1"/>
      <w:marLeft w:val="0"/>
      <w:marRight w:val="0"/>
      <w:marTop w:val="0"/>
      <w:marBottom w:val="0"/>
      <w:divBdr>
        <w:top w:val="none" w:sz="0" w:space="0" w:color="auto"/>
        <w:left w:val="none" w:sz="0" w:space="0" w:color="auto"/>
        <w:bottom w:val="none" w:sz="0" w:space="0" w:color="auto"/>
        <w:right w:val="none" w:sz="0" w:space="0" w:color="auto"/>
      </w:divBdr>
      <w:divsChild>
        <w:div w:id="625937075">
          <w:marLeft w:val="0"/>
          <w:marRight w:val="0"/>
          <w:marTop w:val="0"/>
          <w:marBottom w:val="0"/>
          <w:divBdr>
            <w:top w:val="none" w:sz="0" w:space="0" w:color="auto"/>
            <w:left w:val="none" w:sz="0" w:space="0" w:color="auto"/>
            <w:bottom w:val="none" w:sz="0" w:space="0" w:color="auto"/>
            <w:right w:val="none" w:sz="0" w:space="0" w:color="auto"/>
          </w:divBdr>
          <w:divsChild>
            <w:div w:id="180985579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2021852674">
      <w:bodyDiv w:val="1"/>
      <w:marLeft w:val="0"/>
      <w:marRight w:val="0"/>
      <w:marTop w:val="0"/>
      <w:marBottom w:val="0"/>
      <w:divBdr>
        <w:top w:val="none" w:sz="0" w:space="0" w:color="auto"/>
        <w:left w:val="none" w:sz="0" w:space="0" w:color="auto"/>
        <w:bottom w:val="none" w:sz="0" w:space="0" w:color="auto"/>
        <w:right w:val="none" w:sz="0" w:space="0" w:color="auto"/>
      </w:divBdr>
    </w:div>
    <w:div w:id="2066105556">
      <w:marLeft w:val="0"/>
      <w:marRight w:val="0"/>
      <w:marTop w:val="0"/>
      <w:marBottom w:val="0"/>
      <w:divBdr>
        <w:top w:val="none" w:sz="0" w:space="0" w:color="auto"/>
        <w:left w:val="none" w:sz="0" w:space="0" w:color="auto"/>
        <w:bottom w:val="none" w:sz="0" w:space="0" w:color="auto"/>
        <w:right w:val="none" w:sz="0" w:space="0" w:color="auto"/>
      </w:divBdr>
    </w:div>
    <w:div w:id="2066105557">
      <w:marLeft w:val="0"/>
      <w:marRight w:val="0"/>
      <w:marTop w:val="0"/>
      <w:marBottom w:val="0"/>
      <w:divBdr>
        <w:top w:val="none" w:sz="0" w:space="0" w:color="auto"/>
        <w:left w:val="none" w:sz="0" w:space="0" w:color="auto"/>
        <w:bottom w:val="none" w:sz="0" w:space="0" w:color="auto"/>
        <w:right w:val="none" w:sz="0" w:space="0" w:color="auto"/>
      </w:divBdr>
    </w:div>
    <w:div w:id="2066105558">
      <w:marLeft w:val="0"/>
      <w:marRight w:val="0"/>
      <w:marTop w:val="0"/>
      <w:marBottom w:val="0"/>
      <w:divBdr>
        <w:top w:val="none" w:sz="0" w:space="0" w:color="auto"/>
        <w:left w:val="none" w:sz="0" w:space="0" w:color="auto"/>
        <w:bottom w:val="none" w:sz="0" w:space="0" w:color="auto"/>
        <w:right w:val="none" w:sz="0" w:space="0" w:color="auto"/>
      </w:divBdr>
    </w:div>
    <w:div w:id="2066105559">
      <w:marLeft w:val="0"/>
      <w:marRight w:val="0"/>
      <w:marTop w:val="0"/>
      <w:marBottom w:val="0"/>
      <w:divBdr>
        <w:top w:val="none" w:sz="0" w:space="0" w:color="auto"/>
        <w:left w:val="none" w:sz="0" w:space="0" w:color="auto"/>
        <w:bottom w:val="none" w:sz="0" w:space="0" w:color="auto"/>
        <w:right w:val="none" w:sz="0" w:space="0" w:color="auto"/>
      </w:divBdr>
    </w:div>
    <w:div w:id="206610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mailto:Student@work"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eader" Target="header3.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mailto:Checkin@work"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yperlink" Target="http://www.socialsecurity.be/" TargetMode="External"/><Relationship Id="rId40" Type="http://schemas.openxmlformats.org/officeDocument/2006/relationships/image" Target="media/image25.png"/><Relationship Id="rId45" Type="http://schemas.openxmlformats.org/officeDocument/2006/relationships/header" Target="header4.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ntTable" Target="fontTable.xml"/><Relationship Id="rId57"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7.png"/><Relationship Id="rId48" Type="http://schemas.openxmlformats.org/officeDocument/2006/relationships/footer" Target="footer5.xml"/><Relationship Id="rId56" Type="http://schemas.microsoft.com/office/2016/09/relationships/commentsIds" Target="commentsId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nseils,%20comit&#233;s%20de%20suivi%20et%20rapports\Rapports\Rapport%20d'activit&#233;\2017\Modele\2018-02-20_RA_2017_Modele_Sans_Couverture_0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1CEA6-3DA5-4CB0-AEA3-4F2E70D8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2018-02-20_RA_2017_Modele_Sans_Couverture_004</Template>
  <TotalTime>11</TotalTime>
  <Pages>102</Pages>
  <Words>39151</Words>
  <Characters>215336</Characters>
  <Application>Microsoft Office Word</Application>
  <DocSecurity>0</DocSecurity>
  <Lines>1794</Lines>
  <Paragraphs>507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DONATI</dc:creator>
  <cp:lastModifiedBy>Marianne</cp:lastModifiedBy>
  <cp:revision>6</cp:revision>
  <cp:lastPrinted>2018-08-28T13:33:00Z</cp:lastPrinted>
  <dcterms:created xsi:type="dcterms:W3CDTF">2018-08-29T15:24:00Z</dcterms:created>
  <dcterms:modified xsi:type="dcterms:W3CDTF">2018-08-29T15:39:00Z</dcterms:modified>
</cp:coreProperties>
</file>