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1672E7">
        <w:rPr>
          <w:rFonts w:ascii="Arial" w:hAnsi="Arial" w:cs="Arial"/>
          <w:b/>
          <w:caps/>
        </w:rPr>
        <w:t>1</w:t>
      </w:r>
      <w:r w:rsidR="009262A3">
        <w:rPr>
          <w:rFonts w:ascii="Arial" w:hAnsi="Arial" w:cs="Arial"/>
          <w:b/>
          <w:caps/>
        </w:rPr>
        <w:t>7</w:t>
      </w:r>
      <w:r w:rsidR="00686F08">
        <w:rPr>
          <w:rFonts w:ascii="Arial" w:hAnsi="Arial" w:cs="Arial"/>
          <w:b/>
          <w:caps/>
        </w:rPr>
        <w:t xml:space="preserve"> MAI</w:t>
      </w:r>
      <w:r w:rsidR="000210A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9262A3">
        <w:rPr>
          <w:rFonts w:ascii="Arial" w:hAnsi="Arial" w:cs="Arial"/>
          <w:b/>
          <w:caps/>
        </w:rPr>
        <w:t>21</w:t>
      </w:r>
      <w:r w:rsidR="00686F08">
        <w:rPr>
          <w:rFonts w:ascii="Arial" w:hAnsi="Arial" w:cs="Arial"/>
          <w:b/>
          <w:caps/>
        </w:rPr>
        <w:t xml:space="preserve"> MAI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F726C">
        <w:rPr>
          <w:rFonts w:ascii="Arial" w:hAnsi="Arial" w:cs="Arial"/>
          <w:noProof/>
        </w:rPr>
        <w:t>18 mai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B5282" w:rsidRPr="00325209" w:rsidRDefault="008B5282" w:rsidP="008B528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1672E7">
        <w:rPr>
          <w:rFonts w:ascii="Arial" w:hAnsi="Arial" w:cs="Arial"/>
          <w:b/>
          <w:color w:val="1F497D" w:themeColor="text2"/>
        </w:rPr>
        <w:t>1</w:t>
      </w:r>
      <w:r w:rsidR="009262A3">
        <w:rPr>
          <w:rFonts w:ascii="Arial" w:hAnsi="Arial" w:cs="Arial"/>
          <w:b/>
          <w:color w:val="1F497D" w:themeColor="text2"/>
        </w:rPr>
        <w:t>7</w:t>
      </w:r>
      <w:r w:rsidR="00686F08">
        <w:rPr>
          <w:rFonts w:ascii="Arial" w:hAnsi="Arial" w:cs="Arial"/>
          <w:b/>
          <w:color w:val="1F497D" w:themeColor="text2"/>
        </w:rPr>
        <w:t xml:space="preserve"> MAI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653804" w:rsidRPr="008B5282" w:rsidRDefault="00653804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D57EC" w:rsidRPr="004B0419" w:rsidRDefault="002D57EC" w:rsidP="002D57EC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</w:p>
    <w:p w:rsidR="002D57EC" w:rsidRPr="00586CAA" w:rsidRDefault="009262A3" w:rsidP="00686F08">
      <w:pPr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</w:rPr>
        <w:t>09</w:t>
      </w:r>
      <w:r w:rsidR="004C15B5" w:rsidRPr="00E67146">
        <w:rPr>
          <w:rFonts w:ascii="Arial" w:hAnsi="Arial" w:cs="Arial"/>
          <w:b/>
        </w:rPr>
        <w:t>h</w:t>
      </w:r>
      <w:r w:rsidR="00920FCF">
        <w:rPr>
          <w:rFonts w:ascii="Arial" w:hAnsi="Arial" w:cs="Arial"/>
          <w:b/>
        </w:rPr>
        <w:t>00</w:t>
      </w:r>
      <w:r w:rsidR="004C15B5" w:rsidRPr="00E67146">
        <w:rPr>
          <w:rFonts w:ascii="Arial" w:hAnsi="Arial" w:cs="Arial"/>
          <w:b/>
        </w:rPr>
        <w:t> </w:t>
      </w:r>
      <w:r w:rsidR="004C15B5" w:rsidRPr="00E67146">
        <w:rPr>
          <w:rFonts w:ascii="Arial" w:hAnsi="Arial" w:cs="Arial"/>
        </w:rPr>
        <w:t xml:space="preserve">: </w:t>
      </w:r>
      <w:r w:rsidRPr="009262A3">
        <w:rPr>
          <w:rFonts w:ascii="Arial" w:hAnsi="Arial" w:cs="Arial"/>
          <w:color w:val="000000"/>
        </w:rPr>
        <w:t xml:space="preserve">Conférence de lancement </w:t>
      </w:r>
      <w:r w:rsidR="00586CAA">
        <w:rPr>
          <w:rFonts w:ascii="Arial" w:hAnsi="Arial" w:cs="Arial"/>
          <w:color w:val="000000"/>
        </w:rPr>
        <w:t xml:space="preserve">de l’opération </w:t>
      </w:r>
      <w:r>
        <w:rPr>
          <w:rFonts w:ascii="Arial" w:hAnsi="Arial" w:cs="Arial"/>
          <w:color w:val="000000"/>
        </w:rPr>
        <w:t xml:space="preserve">« Jouons </w:t>
      </w:r>
      <w:r w:rsidRPr="00586CAA">
        <w:rPr>
          <w:rFonts w:ascii="Arial" w:hAnsi="Arial" w:cs="Arial"/>
          <w:color w:val="000000"/>
        </w:rPr>
        <w:t>ensemble »</w:t>
      </w:r>
      <w:r w:rsidR="00586CAA" w:rsidRPr="00586CAA">
        <w:rPr>
          <w:rFonts w:ascii="Arial" w:hAnsi="Arial" w:cs="Arial"/>
          <w:color w:val="000000"/>
        </w:rPr>
        <w:t>,</w:t>
      </w:r>
      <w:r w:rsidRPr="00586CAA">
        <w:rPr>
          <w:rFonts w:ascii="Arial" w:hAnsi="Arial" w:cs="Arial"/>
          <w:color w:val="000000"/>
        </w:rPr>
        <w:t xml:space="preserve"> </w:t>
      </w:r>
      <w:r w:rsidR="009223F9">
        <w:rPr>
          <w:rFonts w:ascii="Arial" w:hAnsi="Arial" w:cs="Arial"/>
          <w:color w:val="000000"/>
        </w:rPr>
        <w:t xml:space="preserve">médiatisation du </w:t>
      </w:r>
      <w:proofErr w:type="spellStart"/>
      <w:r w:rsidR="009223F9">
        <w:rPr>
          <w:rFonts w:ascii="Arial" w:hAnsi="Arial" w:cs="Arial"/>
          <w:color w:val="000000"/>
        </w:rPr>
        <w:t>parasport</w:t>
      </w:r>
      <w:proofErr w:type="spellEnd"/>
      <w:r w:rsidR="009223F9">
        <w:rPr>
          <w:rFonts w:ascii="Arial" w:hAnsi="Arial" w:cs="Arial"/>
          <w:color w:val="000000"/>
        </w:rPr>
        <w:t xml:space="preserve">, </w:t>
      </w:r>
      <w:r w:rsidRPr="00586CAA">
        <w:rPr>
          <w:rFonts w:ascii="Arial" w:hAnsi="Arial" w:cs="Arial"/>
          <w:color w:val="000000"/>
        </w:rPr>
        <w:t xml:space="preserve">en présence de Mme </w:t>
      </w:r>
      <w:proofErr w:type="spellStart"/>
      <w:r w:rsidRPr="00586CAA">
        <w:rPr>
          <w:rFonts w:ascii="Arial" w:hAnsi="Arial" w:cs="Arial"/>
          <w:color w:val="000000"/>
        </w:rPr>
        <w:t>Roxana</w:t>
      </w:r>
      <w:proofErr w:type="spellEnd"/>
      <w:r w:rsidRPr="00586CAA">
        <w:rPr>
          <w:rFonts w:ascii="Arial" w:hAnsi="Arial" w:cs="Arial"/>
          <w:color w:val="000000"/>
        </w:rPr>
        <w:t xml:space="preserve"> MARACINEANU, </w:t>
      </w:r>
      <w:r w:rsidR="00586CAA">
        <w:rPr>
          <w:rFonts w:ascii="Arial" w:hAnsi="Arial" w:cs="Arial"/>
          <w:color w:val="000000"/>
        </w:rPr>
        <w:t>M</w:t>
      </w:r>
      <w:r w:rsidRPr="00586CAA">
        <w:rPr>
          <w:rFonts w:ascii="Arial" w:hAnsi="Arial" w:cs="Arial"/>
          <w:color w:val="000000"/>
        </w:rPr>
        <w:t>inistre déléguée auprès du ministre de l’éducation nationale, de la jeunesse et des sports, chargée des sports</w:t>
      </w:r>
      <w:r w:rsidR="00586CAA" w:rsidRPr="00586CAA">
        <w:rPr>
          <w:rFonts w:ascii="Arial" w:hAnsi="Arial" w:cs="Arial"/>
          <w:color w:val="000000"/>
        </w:rPr>
        <w:t xml:space="preserve">, et de M. </w:t>
      </w:r>
      <w:r w:rsidR="00586CAA" w:rsidRPr="00586CAA">
        <w:rPr>
          <w:rFonts w:ascii="Arial" w:hAnsi="Arial" w:cs="Arial"/>
          <w:bCs/>
        </w:rPr>
        <w:t>Roch-Olivier Maistre,</w:t>
      </w:r>
      <w:r w:rsidR="00586CAA">
        <w:rPr>
          <w:rFonts w:ascii="Arial" w:hAnsi="Arial" w:cs="Arial"/>
        </w:rPr>
        <w:t xml:space="preserve"> P</w:t>
      </w:r>
      <w:r w:rsidR="00586CAA" w:rsidRPr="00586CAA">
        <w:rPr>
          <w:rFonts w:ascii="Arial" w:hAnsi="Arial" w:cs="Arial"/>
        </w:rPr>
        <w:t>résident du Conseil supérieur de l’audiovisuel</w:t>
      </w:r>
      <w:r w:rsidR="00586CAA">
        <w:rPr>
          <w:rFonts w:ascii="Arial" w:hAnsi="Arial" w:cs="Arial"/>
        </w:rPr>
        <w:t xml:space="preserve"> (CSA)</w:t>
      </w:r>
    </w:p>
    <w:p w:rsidR="00686F08" w:rsidRPr="004B0419" w:rsidRDefault="00634C47" w:rsidP="00686F08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(Conseil supérieur de l’audiovisuel – Paris 15ème</w:t>
      </w:r>
      <w:r w:rsidR="00686F08" w:rsidRPr="004B0419">
        <w:rPr>
          <w:rFonts w:ascii="Arial" w:hAnsi="Arial" w:cs="Arial"/>
          <w:i/>
          <w:iCs/>
        </w:rPr>
        <w:t>)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E79CF" w:rsidRDefault="00920FCF" w:rsidP="00920FCF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 w:rsidRPr="00E671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E67146">
        <w:rPr>
          <w:rFonts w:ascii="Arial" w:hAnsi="Arial" w:cs="Arial"/>
          <w:b/>
        </w:rPr>
        <w:t>h</w:t>
      </w:r>
      <w:r w:rsidR="001B3E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1B3EB4">
        <w:rPr>
          <w:rFonts w:ascii="Arial" w:hAnsi="Arial" w:cs="Arial"/>
          <w:color w:val="000000"/>
        </w:rPr>
        <w:t>Présentation des travaux sur la Convention d’objectifs et de gestion (COG) de la Caisse nationale de solidarité pour l’autonomie (CNSA) par la mission de l’Inspection générale des affaires sociales (IGAS)</w:t>
      </w:r>
    </w:p>
    <w:p w:rsidR="00920FCF" w:rsidRPr="004B0419" w:rsidRDefault="00920FCF" w:rsidP="00920FCF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920FCF" w:rsidRDefault="00920FC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652B0" w:rsidRDefault="005652B0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920FCF">
        <w:rPr>
          <w:rFonts w:ascii="Arial" w:hAnsi="Arial" w:cs="Arial"/>
          <w:b/>
          <w:color w:val="1F497D" w:themeColor="text2"/>
        </w:rPr>
        <w:t>1</w:t>
      </w:r>
      <w:r w:rsidR="009262A3">
        <w:rPr>
          <w:rFonts w:ascii="Arial" w:hAnsi="Arial" w:cs="Arial"/>
          <w:b/>
          <w:color w:val="1F497D" w:themeColor="text2"/>
        </w:rPr>
        <w:t>8</w:t>
      </w:r>
      <w:r w:rsidR="00D5777A">
        <w:rPr>
          <w:rFonts w:ascii="Arial" w:hAnsi="Arial" w:cs="Arial"/>
          <w:b/>
          <w:color w:val="1F497D" w:themeColor="text2"/>
        </w:rPr>
        <w:t xml:space="preserve"> MAI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6D77A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B15F7C" w:rsidRDefault="00B15F7C" w:rsidP="00FA538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00B01" w:rsidRDefault="009606D9" w:rsidP="00500B01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 w:rsidRPr="00A322E6">
        <w:rPr>
          <w:rFonts w:ascii="Arial" w:hAnsi="Arial" w:cs="Arial"/>
          <w:b/>
        </w:rPr>
        <w:t>19h30</w:t>
      </w:r>
      <w:r>
        <w:rPr>
          <w:rFonts w:ascii="Arial" w:hAnsi="Arial" w:cs="Arial"/>
          <w:b/>
          <w:color w:val="1F497D" w:themeColor="text2"/>
        </w:rPr>
        <w:t xml:space="preserve"> : </w:t>
      </w:r>
      <w:r w:rsidR="00500B01" w:rsidRPr="00C331DA">
        <w:rPr>
          <w:rFonts w:ascii="Arial" w:hAnsi="Arial" w:cs="Arial"/>
        </w:rPr>
        <w:t>Réunion de ministres relative à la « COVID19 » présidée par le Premier ministre</w:t>
      </w:r>
    </w:p>
    <w:p w:rsidR="00500B01" w:rsidRDefault="00500B01" w:rsidP="00500B01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500B01" w:rsidRPr="00F628BE" w:rsidRDefault="00500B01" w:rsidP="00500B01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9606D9" w:rsidRDefault="009606D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64BF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396C22">
        <w:rPr>
          <w:rFonts w:ascii="Arial" w:hAnsi="Arial" w:cs="Arial"/>
          <w:b/>
          <w:color w:val="1F497D" w:themeColor="text2"/>
        </w:rPr>
        <w:t>1</w:t>
      </w:r>
      <w:r w:rsidR="009262A3">
        <w:rPr>
          <w:rFonts w:ascii="Arial" w:hAnsi="Arial" w:cs="Arial"/>
          <w:b/>
          <w:color w:val="1F497D" w:themeColor="text2"/>
        </w:rPr>
        <w:t>9</w:t>
      </w:r>
      <w:r w:rsidR="00B15F7C">
        <w:rPr>
          <w:rFonts w:ascii="Arial" w:hAnsi="Arial" w:cs="Arial"/>
          <w:b/>
          <w:color w:val="1F497D" w:themeColor="text2"/>
        </w:rPr>
        <w:t xml:space="preserve"> MAI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464BF6" w:rsidRDefault="00464BF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64BF6" w:rsidRDefault="00464BF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D0F60" w:rsidRPr="00BE3FDC" w:rsidRDefault="00464BF6" w:rsidP="00BE3FDC">
      <w:pPr>
        <w:spacing w:after="0"/>
        <w:ind w:left="851" w:hanging="851"/>
        <w:jc w:val="both"/>
        <w:rPr>
          <w:rFonts w:ascii="Arial" w:hAnsi="Arial" w:cs="Arial"/>
        </w:rPr>
      </w:pPr>
      <w:r w:rsidRPr="00464BF6"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 xml:space="preserve"> : </w:t>
      </w:r>
      <w:r w:rsidRPr="00464BF6">
        <w:rPr>
          <w:rFonts w:ascii="Arial" w:hAnsi="Arial" w:cs="Arial"/>
        </w:rPr>
        <w:t xml:space="preserve">Entretien </w:t>
      </w:r>
      <w:r>
        <w:rPr>
          <w:rFonts w:ascii="Arial" w:hAnsi="Arial" w:cs="Arial"/>
        </w:rPr>
        <w:t xml:space="preserve">avec Mme Laure de la </w:t>
      </w:r>
      <w:proofErr w:type="spellStart"/>
      <w:r>
        <w:rPr>
          <w:rFonts w:ascii="Arial" w:hAnsi="Arial" w:cs="Arial"/>
        </w:rPr>
        <w:t>Raudière</w:t>
      </w:r>
      <w:proofErr w:type="spellEnd"/>
      <w:r>
        <w:rPr>
          <w:rFonts w:ascii="Arial" w:hAnsi="Arial" w:cs="Arial"/>
        </w:rPr>
        <w:t xml:space="preserve">, présidente de l’autorité de </w:t>
      </w:r>
      <w:r w:rsidR="007F726C">
        <w:rPr>
          <w:rFonts w:ascii="Arial" w:hAnsi="Arial" w:cs="Arial"/>
        </w:rPr>
        <w:t xml:space="preserve">régulation des </w:t>
      </w:r>
      <w:r w:rsidRPr="00BE06DB">
        <w:rPr>
          <w:rFonts w:ascii="Arial" w:hAnsi="Arial" w:cs="Arial"/>
        </w:rPr>
        <w:t>communications électroniques, des postes et de la distribution de la Presse (ARCEP</w:t>
      </w:r>
      <w:r>
        <w:rPr>
          <w:rFonts w:ascii="Arial" w:hAnsi="Arial" w:cs="Arial"/>
        </w:rPr>
        <w:t>)</w:t>
      </w:r>
      <w:r w:rsidR="009707B7" w:rsidRPr="00464BF6">
        <w:rPr>
          <w:rFonts w:ascii="Arial" w:hAnsi="Arial" w:cs="Arial"/>
          <w:color w:val="1F497D" w:themeColor="text2"/>
        </w:rPr>
        <w:tab/>
      </w:r>
    </w:p>
    <w:p w:rsidR="00F06BF9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64BF6" w:rsidRDefault="00464BF6" w:rsidP="00BE3FDC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4017CA" w:rsidRPr="00652346" w:rsidRDefault="00652346" w:rsidP="00652346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12h30</w:t>
      </w:r>
      <w:r>
        <w:rPr>
          <w:rFonts w:ascii="Arial" w:hAnsi="Arial" w:cs="Arial"/>
          <w:b/>
        </w:rPr>
        <w:t> </w:t>
      </w:r>
      <w:r w:rsidRPr="006523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Déjeuner au « Café joyeux » Champs Elysées à l’occasion de la réouverture des terrasses</w:t>
      </w:r>
      <w:bookmarkStart w:id="0" w:name="_GoBack"/>
      <w:bookmarkEnd w:id="0"/>
      <w:r w:rsidR="00464BF6">
        <w:rPr>
          <w:rFonts w:ascii="Arial" w:hAnsi="Arial" w:cs="Arial"/>
          <w:i/>
          <w:iCs/>
        </w:rPr>
        <w:tab/>
      </w:r>
    </w:p>
    <w:p w:rsidR="00B15F7C" w:rsidRDefault="00B15F7C" w:rsidP="00BA286F">
      <w:pPr>
        <w:spacing w:after="0"/>
        <w:jc w:val="both"/>
        <w:rPr>
          <w:rFonts w:ascii="Arial" w:hAnsi="Arial" w:cs="Arial"/>
          <w:b/>
        </w:rPr>
      </w:pPr>
    </w:p>
    <w:p w:rsidR="009626BE" w:rsidRDefault="009626BE" w:rsidP="00BA286F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9626BE" w:rsidRDefault="009626BE" w:rsidP="00BA286F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BA286F" w:rsidRPr="00BA286F" w:rsidRDefault="00BA286F" w:rsidP="00BA286F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108EF">
        <w:rPr>
          <w:rFonts w:ascii="Arial" w:hAnsi="Arial" w:cs="Arial"/>
          <w:b/>
        </w:rPr>
        <w:t>7h3</w:t>
      </w:r>
      <w:r w:rsidR="00BE06DB">
        <w:rPr>
          <w:rFonts w:ascii="Arial" w:hAnsi="Arial" w:cs="Arial"/>
          <w:b/>
        </w:rPr>
        <w:t>0 :</w:t>
      </w:r>
      <w:r w:rsidR="00BE06DB" w:rsidRPr="00BA28A0">
        <w:rPr>
          <w:rFonts w:ascii="Arial" w:hAnsi="Arial" w:cs="Arial"/>
        </w:rPr>
        <w:t xml:space="preserve"> </w:t>
      </w:r>
      <w:r w:rsidRPr="00BA286F">
        <w:rPr>
          <w:rFonts w:ascii="Arial" w:hAnsi="Arial" w:cs="Arial"/>
        </w:rPr>
        <w:t xml:space="preserve">Entretien avec les associations gestionnaires d’établissements et services médico-sociaux sur l’évolution de la situation sanitaire </w:t>
      </w:r>
    </w:p>
    <w:p w:rsidR="00BA286F" w:rsidRDefault="00BA286F" w:rsidP="00BA286F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BA286F">
        <w:rPr>
          <w:rFonts w:ascii="Arial" w:hAnsi="Arial" w:cs="Arial"/>
          <w:i/>
          <w:iCs/>
        </w:rPr>
        <w:t>  (Visioconférence)</w:t>
      </w:r>
    </w:p>
    <w:p w:rsidR="00BA286F" w:rsidRDefault="00BA286F" w:rsidP="00BA286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270EE" w:rsidRPr="00B13C78" w:rsidRDefault="00BA286F" w:rsidP="00B13C78">
      <w:p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BA286F">
        <w:rPr>
          <w:rFonts w:ascii="Arial" w:hAnsi="Arial" w:cs="Arial"/>
          <w:b/>
          <w:iCs/>
        </w:rPr>
        <w:t>18h30</w:t>
      </w:r>
      <w:r>
        <w:rPr>
          <w:rFonts w:ascii="Arial" w:hAnsi="Arial" w:cs="Arial"/>
          <w:b/>
          <w:iCs/>
        </w:rPr>
        <w:t> </w:t>
      </w:r>
      <w:r w:rsidRPr="00E270EE">
        <w:rPr>
          <w:rFonts w:ascii="Arial" w:hAnsi="Arial" w:cs="Arial"/>
          <w:iCs/>
        </w:rPr>
        <w:t>: Intervention</w:t>
      </w:r>
      <w:r>
        <w:rPr>
          <w:rFonts w:ascii="Arial" w:hAnsi="Arial" w:cs="Arial"/>
          <w:b/>
          <w:iCs/>
        </w:rPr>
        <w:t xml:space="preserve"> </w:t>
      </w:r>
      <w:r w:rsidR="00B13C78" w:rsidRPr="00B13C78">
        <w:rPr>
          <w:rFonts w:ascii="Arial" w:hAnsi="Arial" w:cs="Arial"/>
          <w:iCs/>
        </w:rPr>
        <w:t>dans le cadre de la</w:t>
      </w:r>
      <w:r w:rsidR="00B13C78">
        <w:rPr>
          <w:rFonts w:ascii="Helvetica" w:hAnsi="Helvetica" w:cs="Helvetica"/>
          <w:sz w:val="21"/>
          <w:szCs w:val="21"/>
        </w:rPr>
        <w:t xml:space="preserve"> t</w:t>
      </w:r>
      <w:r w:rsidR="00F108EF">
        <w:rPr>
          <w:rFonts w:ascii="Helvetica" w:hAnsi="Helvetica" w:cs="Helvetica"/>
          <w:sz w:val="21"/>
          <w:szCs w:val="21"/>
        </w:rPr>
        <w:t xml:space="preserve">able ronde "Favoriser une meilleure prise en compte des personnes de petite </w:t>
      </w:r>
      <w:r w:rsidR="00E270EE">
        <w:rPr>
          <w:rFonts w:ascii="Helvetica" w:hAnsi="Helvetica" w:cs="Helvetica"/>
          <w:sz w:val="21"/>
          <w:szCs w:val="21"/>
        </w:rPr>
        <w:t>tail</w:t>
      </w:r>
      <w:r w:rsidR="00CE2016">
        <w:rPr>
          <w:rFonts w:ascii="Helvetica" w:hAnsi="Helvetica" w:cs="Helvetica"/>
          <w:sz w:val="21"/>
          <w:szCs w:val="21"/>
        </w:rPr>
        <w:t>l</w:t>
      </w:r>
      <w:r w:rsidR="00F108EF">
        <w:rPr>
          <w:rFonts w:ascii="Helvetica" w:hAnsi="Helvetica" w:cs="Helvetica"/>
          <w:sz w:val="21"/>
          <w:szCs w:val="21"/>
        </w:rPr>
        <w:t xml:space="preserve">e en France" </w:t>
      </w:r>
      <w:r w:rsidR="00E270EE">
        <w:rPr>
          <w:rFonts w:ascii="Helvetica" w:hAnsi="Helvetica" w:cs="Helvetica"/>
          <w:sz w:val="21"/>
          <w:szCs w:val="21"/>
        </w:rPr>
        <w:t>–</w:t>
      </w:r>
      <w:r w:rsidR="00F108EF">
        <w:rPr>
          <w:rFonts w:ascii="Helvetica" w:hAnsi="Helvetica" w:cs="Helvetica"/>
          <w:sz w:val="21"/>
          <w:szCs w:val="21"/>
        </w:rPr>
        <w:t xml:space="preserve"> APPT</w:t>
      </w:r>
      <w:proofErr w:type="gramStart"/>
      <w:r w:rsidR="00E270EE">
        <w:rPr>
          <w:rFonts w:ascii="Helvetica" w:hAnsi="Helvetica" w:cs="Helvetica"/>
          <w:sz w:val="21"/>
          <w:szCs w:val="21"/>
        </w:rPr>
        <w:t xml:space="preserve"> </w:t>
      </w:r>
      <w:r w:rsidR="00E270EE" w:rsidRPr="00BA286F">
        <w:rPr>
          <w:rFonts w:ascii="Arial" w:hAnsi="Arial" w:cs="Arial"/>
          <w:i/>
          <w:iCs/>
        </w:rPr>
        <w:t>  (</w:t>
      </w:r>
      <w:proofErr w:type="gramEnd"/>
      <w:r w:rsidR="00E270EE" w:rsidRPr="00BA286F">
        <w:rPr>
          <w:rFonts w:ascii="Arial" w:hAnsi="Arial" w:cs="Arial"/>
          <w:i/>
          <w:iCs/>
        </w:rPr>
        <w:t>Visioconférence)</w:t>
      </w:r>
    </w:p>
    <w:p w:rsidR="005C7473" w:rsidRDefault="005C7473" w:rsidP="00E270EE">
      <w:pPr>
        <w:spacing w:after="0"/>
        <w:jc w:val="both"/>
        <w:rPr>
          <w:rFonts w:ascii="Arial" w:hAnsi="Arial" w:cs="Arial"/>
        </w:rPr>
      </w:pPr>
    </w:p>
    <w:p w:rsidR="00A322E6" w:rsidRDefault="00A322E6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262A3" w:rsidRPr="00325209" w:rsidRDefault="009262A3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20 MAI 2021</w:t>
      </w:r>
      <w:r>
        <w:rPr>
          <w:rFonts w:ascii="Arial" w:hAnsi="Arial" w:cs="Arial"/>
          <w:b/>
          <w:color w:val="1F497D" w:themeColor="text2"/>
        </w:rPr>
        <w:tab/>
      </w: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817A9" w:rsidRDefault="00B817A9" w:rsidP="00894B33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817A9">
        <w:rPr>
          <w:rFonts w:ascii="Arial" w:hAnsi="Arial" w:cs="Arial"/>
        </w:rPr>
        <w:t xml:space="preserve">Déplacement culture et </w:t>
      </w:r>
      <w:proofErr w:type="spellStart"/>
      <w:r w:rsidRPr="00B817A9">
        <w:rPr>
          <w:rFonts w:ascii="Arial" w:hAnsi="Arial" w:cs="Arial"/>
        </w:rPr>
        <w:t>parasport</w:t>
      </w:r>
      <w:proofErr w:type="spellEnd"/>
      <w:r w:rsidR="009223F9">
        <w:rPr>
          <w:rFonts w:ascii="Arial" w:hAnsi="Arial" w:cs="Arial"/>
        </w:rPr>
        <w:t xml:space="preserve"> autour de l’opération « Jouons ensemble », </w:t>
      </w:r>
    </w:p>
    <w:p w:rsidR="00B817A9" w:rsidRPr="00B817A9" w:rsidRDefault="00B817A9" w:rsidP="009262A3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B817A9">
        <w:rPr>
          <w:rFonts w:ascii="Arial" w:hAnsi="Arial" w:cs="Arial"/>
          <w:i/>
        </w:rPr>
        <w:t>(50 – Manche)</w:t>
      </w:r>
    </w:p>
    <w:p w:rsidR="00B53963" w:rsidRPr="00B817A9" w:rsidRDefault="00B53963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D76B46" w:rsidRPr="00B817A9" w:rsidRDefault="00D76B46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A322E6" w:rsidRPr="00E270EE" w:rsidRDefault="00A322E6" w:rsidP="00A322E6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D50522" w:rsidRPr="00E270EE" w:rsidRDefault="00D50522" w:rsidP="000671EB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D50522" w:rsidRPr="00E270EE" w:rsidRDefault="00D50522" w:rsidP="000671EB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671EB" w:rsidRPr="00E270EE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46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64BF6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6D7E"/>
    <w:rsid w:val="00647C2B"/>
    <w:rsid w:val="00650CAB"/>
    <w:rsid w:val="00651E25"/>
    <w:rsid w:val="00652346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7F726C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D615E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6D9"/>
    <w:rsid w:val="00960F89"/>
    <w:rsid w:val="009626BE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5D7"/>
    <w:rsid w:val="00B0179E"/>
    <w:rsid w:val="00B10EF7"/>
    <w:rsid w:val="00B11535"/>
    <w:rsid w:val="00B1189B"/>
    <w:rsid w:val="00B13C78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6D36"/>
    <w:rsid w:val="00B50B97"/>
    <w:rsid w:val="00B53963"/>
    <w:rsid w:val="00B627F1"/>
    <w:rsid w:val="00B636E4"/>
    <w:rsid w:val="00B6480D"/>
    <w:rsid w:val="00B735B2"/>
    <w:rsid w:val="00B7643B"/>
    <w:rsid w:val="00B776CE"/>
    <w:rsid w:val="00B803D6"/>
    <w:rsid w:val="00B80702"/>
    <w:rsid w:val="00B817A9"/>
    <w:rsid w:val="00B822EE"/>
    <w:rsid w:val="00B85B4F"/>
    <w:rsid w:val="00B9230A"/>
    <w:rsid w:val="00B93549"/>
    <w:rsid w:val="00B95441"/>
    <w:rsid w:val="00BA1804"/>
    <w:rsid w:val="00BA286F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3FDC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31DA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2016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7F9"/>
    <w:rsid w:val="00E11FF9"/>
    <w:rsid w:val="00E122A7"/>
    <w:rsid w:val="00E20B95"/>
    <w:rsid w:val="00E20FF3"/>
    <w:rsid w:val="00E21532"/>
    <w:rsid w:val="00E21EB8"/>
    <w:rsid w:val="00E270EE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1ACC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08EF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2C9C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0C91C9F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DUFLEIT Lucie</cp:lastModifiedBy>
  <cp:revision>3</cp:revision>
  <cp:lastPrinted>2021-05-17T17:51:00Z</cp:lastPrinted>
  <dcterms:created xsi:type="dcterms:W3CDTF">2021-05-18T13:15:00Z</dcterms:created>
  <dcterms:modified xsi:type="dcterms:W3CDTF">2021-05-18T13:24:00Z</dcterms:modified>
</cp:coreProperties>
</file>